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宋体" w:hAnsi="宋体" w:cs="宋体"/>
          <w:b/>
          <w:sz w:val="44"/>
          <w:szCs w:val="44"/>
        </w:rPr>
      </w:pPr>
      <w:bookmarkStart w:id="1" w:name="_GoBack"/>
      <w:bookmarkEnd w:id="1"/>
      <w:bookmarkStart w:id="0" w:name="_Toc29082"/>
      <w:r>
        <w:rPr>
          <w:rFonts w:hint="eastAsia" w:ascii="宋体" w:hAnsi="宋体" w:cs="宋体"/>
          <w:b/>
          <w:sz w:val="44"/>
          <w:szCs w:val="44"/>
          <w:lang w:eastAsia="zh-CN"/>
        </w:rPr>
        <w:t>采购</w:t>
      </w:r>
      <w:r>
        <w:rPr>
          <w:rFonts w:hint="eastAsia" w:ascii="宋体" w:hAnsi="宋体" w:cs="宋体"/>
          <w:b/>
          <w:sz w:val="44"/>
          <w:szCs w:val="44"/>
        </w:rPr>
        <w:t>内容及要求</w:t>
      </w:r>
      <w:bookmarkEnd w:id="0"/>
    </w:p>
    <w:p>
      <w:pPr>
        <w:pStyle w:val="7"/>
        <w:spacing w:after="0"/>
        <w:ind w:left="0" w:leftChars="0" w:firstLine="482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一、采购清单</w:t>
      </w:r>
    </w:p>
    <w:tbl>
      <w:tblPr>
        <w:tblStyle w:val="8"/>
        <w:tblW w:w="1015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1331"/>
        <w:gridCol w:w="2664"/>
        <w:gridCol w:w="1331"/>
        <w:gridCol w:w="926"/>
        <w:gridCol w:w="1332"/>
        <w:gridCol w:w="16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926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133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设计编号</w:t>
            </w:r>
          </w:p>
        </w:tc>
        <w:tc>
          <w:tcPr>
            <w:tcW w:w="266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尺寸</w:t>
            </w:r>
          </w:p>
        </w:tc>
        <w:tc>
          <w:tcPr>
            <w:tcW w:w="133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樘数</w:t>
            </w:r>
          </w:p>
        </w:tc>
        <w:tc>
          <w:tcPr>
            <w:tcW w:w="92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材料</w:t>
            </w:r>
          </w:p>
        </w:tc>
        <w:tc>
          <w:tcPr>
            <w:tcW w:w="1332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开启方式</w:t>
            </w:r>
          </w:p>
        </w:tc>
        <w:tc>
          <w:tcPr>
            <w:tcW w:w="164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气密性能等级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926" w:type="dxa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门</w:t>
            </w:r>
          </w:p>
        </w:tc>
        <w:tc>
          <w:tcPr>
            <w:tcW w:w="1331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TSM5542</w:t>
            </w:r>
          </w:p>
        </w:tc>
        <w:tc>
          <w:tcPr>
            <w:tcW w:w="2664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5500*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 w:val="24"/>
              </w:rPr>
              <w:t>200</w:t>
            </w:r>
          </w:p>
        </w:tc>
        <w:tc>
          <w:tcPr>
            <w:tcW w:w="1331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926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钢质</w:t>
            </w:r>
          </w:p>
        </w:tc>
        <w:tc>
          <w:tcPr>
            <w:tcW w:w="1332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转折提升</w:t>
            </w:r>
          </w:p>
        </w:tc>
        <w:tc>
          <w:tcPr>
            <w:tcW w:w="1646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color w:val="0000FF"/>
                <w:sz w:val="24"/>
              </w:rPr>
              <w:t>3级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92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7"/>
              <w:spacing w:after="0"/>
              <w:ind w:left="0" w:leftChars="0" w:firstLine="482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TSM4542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4500*4200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钢质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转折提升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color w:val="0000FF"/>
                <w:sz w:val="24"/>
              </w:rPr>
              <w:t>3级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92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7"/>
              <w:spacing w:after="0"/>
              <w:ind w:left="0" w:leftChars="0" w:firstLine="482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TSM4042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4000*4200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钢质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转折提升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color w:val="0000FF"/>
                <w:sz w:val="24"/>
              </w:rPr>
              <w:t>3级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92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7"/>
              <w:spacing w:after="0"/>
              <w:ind w:left="0" w:leftChars="0" w:firstLine="482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TSM3642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3600*4200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钢质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转折提升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color w:val="0000FF"/>
                <w:sz w:val="24"/>
              </w:rPr>
              <w:t>3级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92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7"/>
              <w:spacing w:after="0"/>
              <w:ind w:left="0" w:leftChars="0" w:firstLine="482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TSM2442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2400*4200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钢质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转折提升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color w:val="0000FF"/>
                <w:sz w:val="24"/>
              </w:rPr>
              <w:t>3级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92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7"/>
              <w:spacing w:after="0"/>
              <w:ind w:left="0" w:leftChars="0" w:firstLine="482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KJM4542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4500*4200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无机布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卷帘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482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92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7"/>
              <w:spacing w:after="0"/>
              <w:ind w:left="0" w:leftChars="0" w:firstLine="482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KJM3036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3000*3600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无机布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卷帘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482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92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7"/>
              <w:spacing w:after="0"/>
              <w:ind w:left="0" w:leftChars="0" w:firstLine="482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FKJM3036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3000*3600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无机布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0" w:firstLineChars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卷帘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pStyle w:val="7"/>
              <w:spacing w:after="0"/>
              <w:ind w:left="0" w:leftChars="0" w:firstLine="482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="0" w:leftChars="0" w:firstLine="482" w:firstLineChars="200"/>
        <w:textAlignment w:val="auto"/>
        <w:rPr>
          <w:rFonts w:hint="eastAsia" w:ascii="宋体" w:hAnsi="宋体"/>
          <w:b/>
          <w:color w:val="FF0000"/>
          <w:sz w:val="24"/>
          <w:highlight w:val="none"/>
        </w:rPr>
      </w:pPr>
      <w:r>
        <w:rPr>
          <w:rFonts w:hint="eastAsia" w:ascii="宋体" w:hAnsi="宋体"/>
          <w:b/>
          <w:color w:val="FF0000"/>
          <w:sz w:val="24"/>
          <w:highlight w:val="none"/>
        </w:rPr>
        <w:t>推荐品牌：霍曼、亚萨合莱阔福、诺沃芬，</w:t>
      </w:r>
      <w:r>
        <w:rPr>
          <w:rFonts w:hint="eastAsia" w:ascii="宋体" w:hAnsi="宋体"/>
          <w:b/>
          <w:color w:val="FF0000"/>
          <w:sz w:val="24"/>
          <w:highlight w:val="none"/>
          <w:lang w:val="en-US" w:eastAsia="zh-CN"/>
        </w:rPr>
        <w:t>谈判响应人的投标品牌须为</w:t>
      </w:r>
      <w:r>
        <w:rPr>
          <w:rFonts w:hint="eastAsia" w:ascii="宋体" w:hAnsi="宋体"/>
          <w:b/>
          <w:color w:val="FF0000"/>
          <w:sz w:val="24"/>
          <w:highlight w:val="none"/>
        </w:rPr>
        <w:t>推荐品牌</w:t>
      </w:r>
      <w:r>
        <w:rPr>
          <w:rFonts w:hint="eastAsia" w:ascii="宋体" w:hAnsi="宋体"/>
          <w:b/>
          <w:color w:val="FF0000"/>
          <w:sz w:val="24"/>
          <w:highlight w:val="none"/>
          <w:lang w:val="en-US" w:eastAsia="zh-CN"/>
        </w:rPr>
        <w:t>或</w:t>
      </w:r>
      <w:r>
        <w:rPr>
          <w:rFonts w:hint="eastAsia" w:ascii="宋体" w:hAnsi="宋体"/>
          <w:b/>
          <w:color w:val="FF0000"/>
          <w:sz w:val="24"/>
          <w:highlight w:val="none"/>
        </w:rPr>
        <w:t>相当于</w:t>
      </w:r>
      <w:r>
        <w:rPr>
          <w:rFonts w:hint="eastAsia" w:ascii="宋体" w:hAnsi="宋体"/>
          <w:b/>
          <w:color w:val="FF0000"/>
          <w:sz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FF0000"/>
          <w:sz w:val="24"/>
          <w:highlight w:val="none"/>
        </w:rPr>
        <w:t>或优于</w:t>
      </w:r>
      <w:r>
        <w:rPr>
          <w:rFonts w:hint="eastAsia" w:ascii="宋体" w:hAnsi="宋体"/>
          <w:b/>
          <w:color w:val="FF0000"/>
          <w:sz w:val="24"/>
          <w:highlight w:val="none"/>
          <w:lang w:eastAsia="zh-CN"/>
        </w:rPr>
        <w:t>）</w:t>
      </w:r>
      <w:r>
        <w:rPr>
          <w:rFonts w:hint="eastAsia" w:ascii="宋体" w:hAnsi="宋体"/>
          <w:b/>
          <w:color w:val="FF0000"/>
          <w:sz w:val="24"/>
          <w:highlight w:val="none"/>
        </w:rPr>
        <w:t>推荐品牌的合资品牌或外资品牌。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="0" w:leftChars="0" w:firstLine="482" w:firstLineChars="200"/>
        <w:textAlignment w:val="auto"/>
        <w:rPr>
          <w:rFonts w:hint="eastAsia" w:ascii="宋体" w:hAnsi="宋体"/>
          <w:b/>
          <w:color w:val="FF0000"/>
          <w:sz w:val="24"/>
        </w:rPr>
      </w:pPr>
      <w:r>
        <w:rPr>
          <w:rFonts w:hint="eastAsia" w:ascii="宋体" w:hAnsi="宋体"/>
          <w:b/>
          <w:color w:val="0000FF"/>
          <w:sz w:val="24"/>
        </w:rPr>
        <w:t>设计编号为FKJM3036的门不做品牌要求。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left"/>
        <w:textAlignment w:val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2" w:firstLineChars="200"/>
        <w:jc w:val="left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1.工业提升门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2" w:firstLineChars="200"/>
        <w:jc w:val="left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1.1门板厚度42mm，内外表面均为镀锌烤漆钢板，内外钢板厚0.5mm，烤漆厚度为25-30μm。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2" w:firstLineChars="200"/>
        <w:jc w:val="left"/>
        <w:textAlignment w:val="auto"/>
        <w:rPr>
          <w:rFonts w:hint="eastAsia" w:ascii="宋体" w:hAnsi="宋体"/>
          <w:b/>
          <w:color w:val="FF000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1.2门体的内部填充为无氟聚氨酯，填充密度为48kg/m³±2kg/m³。</w:t>
      </w:r>
      <w:r>
        <w:rPr>
          <w:rFonts w:hint="eastAsia" w:ascii="宋体" w:hAnsi="宋体"/>
          <w:b/>
          <w:color w:val="0000FF"/>
          <w:sz w:val="24"/>
          <w:szCs w:val="24"/>
        </w:rPr>
        <w:t>（需要提供第三方检测报告）。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2" w:firstLineChars="200"/>
        <w:jc w:val="left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1.3门体提升速度0.25 m/s，扭簧使用寿命保证10万次以上。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2" w:firstLineChars="200"/>
        <w:jc w:val="left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1.4门板底部安装钢丝绳防坠落装置，当钢丝绳意外断裂时，确保5cm内自锁以保证门体不至于突然下滑，防止事故发生。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2" w:firstLineChars="200"/>
        <w:jc w:val="left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1.5电机耐用开启次数额定30万次。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2" w:firstLineChars="200"/>
        <w:jc w:val="left"/>
        <w:textAlignment w:val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1.6视窗：门体中部设圆角矩形视窗，视窗数量为3个。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2" w:firstLineChars="200"/>
        <w:jc w:val="both"/>
        <w:textAlignment w:val="auto"/>
        <w:rPr>
          <w:rFonts w:ascii="宋体" w:hAnsi="宋体"/>
          <w:b/>
          <w:color w:val="0000FF"/>
          <w:sz w:val="24"/>
          <w:szCs w:val="24"/>
        </w:rPr>
      </w:pPr>
      <w:r>
        <w:rPr>
          <w:rFonts w:ascii="宋体" w:hAnsi="宋体"/>
          <w:b/>
          <w:color w:val="0000FF"/>
          <w:sz w:val="24"/>
          <w:szCs w:val="24"/>
        </w:rPr>
        <w:t>1.7</w:t>
      </w:r>
      <w:r>
        <w:rPr>
          <w:rFonts w:hint="eastAsia" w:ascii="宋体" w:hAnsi="宋体"/>
          <w:b/>
          <w:color w:val="0000FF"/>
          <w:sz w:val="24"/>
          <w:szCs w:val="24"/>
        </w:rPr>
        <w:t>抗风压等级：3级，需要提供第三方检测报告。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2" w:firstLineChars="200"/>
        <w:jc w:val="both"/>
        <w:textAlignment w:val="auto"/>
        <w:rPr>
          <w:rFonts w:ascii="宋体" w:hAnsi="宋体"/>
          <w:b/>
          <w:color w:val="0000FF"/>
          <w:sz w:val="24"/>
          <w:szCs w:val="24"/>
        </w:rPr>
      </w:pPr>
      <w:r>
        <w:rPr>
          <w:rFonts w:hint="eastAsia" w:ascii="宋体" w:hAnsi="宋体"/>
          <w:b/>
          <w:color w:val="0000FF"/>
          <w:sz w:val="24"/>
          <w:szCs w:val="24"/>
        </w:rPr>
        <w:t>1.8气密性：3级,需要提供第三方检测报告，可以4000×4000门体测试为例。</w:t>
      </w:r>
      <w:r>
        <w:rPr>
          <w:rFonts w:hint="eastAsia"/>
          <w:color w:val="0000FF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2" w:firstLineChars="200"/>
        <w:jc w:val="both"/>
        <w:textAlignment w:val="auto"/>
        <w:rPr>
          <w:rFonts w:ascii="宋体" w:hAnsi="宋体"/>
          <w:b/>
          <w:color w:val="0000FF"/>
          <w:sz w:val="24"/>
          <w:szCs w:val="24"/>
        </w:rPr>
      </w:pPr>
      <w:r>
        <w:rPr>
          <w:rFonts w:ascii="宋体" w:hAnsi="宋体"/>
          <w:b/>
          <w:color w:val="0000FF"/>
          <w:sz w:val="24"/>
          <w:szCs w:val="24"/>
        </w:rPr>
        <w:t>1.9</w:t>
      </w:r>
      <w:r>
        <w:rPr>
          <w:rFonts w:hint="eastAsia" w:ascii="宋体" w:hAnsi="宋体"/>
          <w:b/>
          <w:color w:val="0000FF"/>
          <w:sz w:val="24"/>
          <w:szCs w:val="24"/>
        </w:rPr>
        <w:t>水密性：3级,需要提供第三方检测报告，可以4000×4000门体测试为例。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2" w:firstLineChars="200"/>
        <w:jc w:val="both"/>
        <w:textAlignment w:val="auto"/>
        <w:rPr>
          <w:rFonts w:ascii="宋体" w:hAnsi="宋体"/>
          <w:b/>
          <w:color w:val="0000FF"/>
          <w:sz w:val="24"/>
          <w:szCs w:val="24"/>
        </w:rPr>
      </w:pPr>
      <w:r>
        <w:rPr>
          <w:rFonts w:hint="eastAsia" w:ascii="宋体" w:hAnsi="宋体"/>
          <w:b/>
          <w:color w:val="0000FF"/>
          <w:sz w:val="24"/>
          <w:szCs w:val="24"/>
        </w:rPr>
        <w:t>1.10保温性 ：1.1 W/(m2.k)，需提供第三方检测报告可以4000×4000门体测试为例；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2" w:firstLineChars="200"/>
        <w:jc w:val="left"/>
        <w:textAlignment w:val="auto"/>
        <w:rPr>
          <w:rFonts w:hint="eastAsia" w:ascii="宋体" w:hAnsi="宋体"/>
          <w:b/>
          <w:color w:val="FF0000"/>
          <w:sz w:val="24"/>
          <w:szCs w:val="24"/>
        </w:rPr>
      </w:pPr>
      <w:r>
        <w:rPr>
          <w:rFonts w:hint="eastAsia" w:ascii="宋体" w:hAnsi="宋体"/>
          <w:b/>
          <w:color w:val="0000FF"/>
          <w:sz w:val="24"/>
          <w:szCs w:val="24"/>
        </w:rPr>
        <w:t>1.11安全装置：感应阻碍反弹气囊。（弹簧系统需要标配弹簧防断装置，需要提供第三方检测报告）。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2" w:firstLineChars="200"/>
        <w:jc w:val="left"/>
        <w:textAlignment w:val="auto"/>
        <w:rPr>
          <w:sz w:val="22"/>
        </w:rPr>
      </w:pPr>
      <w:r>
        <w:rPr>
          <w:rFonts w:hint="eastAsia" w:ascii="宋体" w:hAnsi="宋体"/>
          <w:b/>
          <w:sz w:val="24"/>
          <w:szCs w:val="24"/>
        </w:rPr>
        <w:t>1.12门体颜色要求为：车间外墙门体外板颜色色号：RAL9006，内板颜色色号：RAL9016；车间内墙提升门内外板颜色色号：RAL9016。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firstLine="560" w:firstLineChars="200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firstLine="560" w:firstLineChars="200"/>
        <w:textAlignment w:val="auto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1683385</wp:posOffset>
            </wp:positionH>
            <wp:positionV relativeFrom="paragraph">
              <wp:posOffset>-76200</wp:posOffset>
            </wp:positionV>
            <wp:extent cx="4099560" cy="3097530"/>
            <wp:effectExtent l="0" t="0" r="15240" b="7620"/>
            <wp:wrapTopAndBottom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9560" cy="309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图 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2" w:firstLineChars="200"/>
        <w:jc w:val="left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2.快卷门（技术要求）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2" w:firstLineChars="200"/>
        <w:jc w:val="left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2.1门体UPVC织物门帘，门开启1.2~2.0m/s,关闭1.2m/s，软启动软停止。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2" w:firstLineChars="200"/>
        <w:jc w:val="left"/>
        <w:textAlignment w:val="auto"/>
        <w:rPr>
          <w:rFonts w:hint="eastAsia" w:ascii="宋体" w:hAnsi="宋体"/>
          <w:b/>
          <w:color w:val="FF000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2.2具备关闭状态下能抵抗8~10级大风的能力。</w:t>
      </w:r>
      <w:r>
        <w:rPr>
          <w:rFonts w:hint="eastAsia" w:ascii="宋体" w:hAnsi="宋体"/>
          <w:b/>
          <w:color w:val="0000FF"/>
          <w:sz w:val="24"/>
          <w:szCs w:val="24"/>
          <w:highlight w:val="none"/>
        </w:rPr>
        <w:t>具备关闭状态下能抵抗8~10级大</w:t>
      </w:r>
      <w:r>
        <w:rPr>
          <w:rFonts w:hint="eastAsia" w:ascii="宋体" w:hAnsi="宋体" w:eastAsia="宋体" w:cs="Times New Roman"/>
          <w:b/>
          <w:color w:val="0000FF"/>
          <w:sz w:val="24"/>
          <w:szCs w:val="24"/>
          <w:highlight w:val="none"/>
        </w:rPr>
        <w:t>风的能力</w:t>
      </w:r>
      <w:r>
        <w:rPr>
          <w:rFonts w:hint="eastAsia" w:ascii="宋体" w:hAnsi="宋体" w:eastAsia="宋体" w:cs="Times New Roman"/>
          <w:b/>
          <w:color w:val="0000FF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Times New Roman"/>
          <w:b/>
          <w:color w:val="0000FF"/>
          <w:sz w:val="24"/>
          <w:szCs w:val="24"/>
          <w:highlight w:val="none"/>
        </w:rPr>
        <w:t>气密性：一级</w:t>
      </w:r>
      <w:r>
        <w:rPr>
          <w:rFonts w:hint="eastAsia" w:ascii="宋体" w:hAnsi="宋体" w:eastAsia="宋体" w:cs="Times New Roman"/>
          <w:b/>
          <w:color w:val="0000FF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Times New Roman"/>
          <w:b/>
          <w:color w:val="0000FF"/>
          <w:sz w:val="24"/>
          <w:szCs w:val="24"/>
          <w:highlight w:val="none"/>
        </w:rPr>
        <w:t>防水性能：二级</w:t>
      </w:r>
      <w:r>
        <w:rPr>
          <w:rFonts w:hint="eastAsia" w:ascii="宋体" w:hAnsi="宋体" w:eastAsia="宋体" w:cs="Times New Roman"/>
          <w:b/>
          <w:color w:val="0000FF"/>
          <w:sz w:val="24"/>
          <w:szCs w:val="24"/>
          <w:highlight w:val="none"/>
          <w:lang w:eastAsia="zh-CN"/>
        </w:rPr>
        <w:t>。以上性能</w:t>
      </w:r>
      <w:r>
        <w:rPr>
          <w:rFonts w:hint="eastAsia" w:ascii="宋体" w:hAnsi="宋体" w:eastAsia="宋体" w:cs="Times New Roman"/>
          <w:b/>
          <w:color w:val="0000FF"/>
          <w:sz w:val="24"/>
          <w:szCs w:val="24"/>
          <w:highlight w:val="none"/>
        </w:rPr>
        <w:t>需要提供第三方检测报告</w:t>
      </w:r>
      <w:r>
        <w:rPr>
          <w:rFonts w:hint="eastAsia" w:ascii="宋体" w:hAnsi="宋体" w:eastAsia="宋体" w:cs="Times New Roman"/>
          <w:b/>
          <w:color w:val="0000FF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2" w:firstLineChars="200"/>
        <w:jc w:val="left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2.3防撞系统，设置脱轨后自修复系统。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2" w:firstLineChars="200"/>
        <w:jc w:val="left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2.4安装方式内装，开启方式为地磁线圈+手动。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2" w:firstLineChars="200"/>
        <w:jc w:val="left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2.5透明门帘底标高1.2m，门帘高度为1.5m，可根据门的高度调整。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2" w:firstLineChars="200"/>
        <w:jc w:val="left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2.6设置光电安全装置，遇到光电保护系统阻碍反弹，整门活动部分无硬质金属，软底边。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2" w:firstLineChars="200"/>
        <w:jc w:val="left"/>
        <w:textAlignment w:val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2.7门帘颜色为油菜黄（色号RAL1021）。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2" w:firstLineChars="200"/>
        <w:jc w:val="left"/>
        <w:textAlignment w:val="auto"/>
        <w:rPr>
          <w:rFonts w:ascii="宋体" w:hAnsi="宋体"/>
          <w:b/>
          <w:color w:val="0000FF"/>
          <w:sz w:val="24"/>
          <w:szCs w:val="24"/>
        </w:rPr>
      </w:pPr>
      <w:r>
        <w:rPr>
          <w:rFonts w:hint="eastAsia" w:ascii="宋体" w:hAnsi="宋体"/>
          <w:b/>
          <w:color w:val="0000FF"/>
          <w:sz w:val="24"/>
          <w:szCs w:val="24"/>
        </w:rPr>
        <w:t>3.无机布特级防火卷帘门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2" w:firstLineChars="200"/>
        <w:jc w:val="both"/>
        <w:textAlignment w:val="auto"/>
        <w:rPr>
          <w:color w:val="FF0000"/>
        </w:rPr>
      </w:pPr>
      <w:r>
        <w:rPr>
          <w:rFonts w:hint="eastAsia" w:ascii="宋体" w:hAnsi="宋体"/>
          <w:b/>
          <w:color w:val="FF0000"/>
          <w:sz w:val="24"/>
          <w:szCs w:val="24"/>
        </w:rPr>
        <w:t>投标厂家需要提供</w:t>
      </w:r>
      <w:r>
        <w:rPr>
          <w:rFonts w:hint="eastAsia" w:ascii="宋体" w:hAnsi="宋体"/>
          <w:b/>
          <w:color w:val="FF0000"/>
          <w:sz w:val="24"/>
          <w:szCs w:val="24"/>
          <w:lang w:eastAsia="zh-CN"/>
        </w:rPr>
        <w:t>所投产品的中国国家强制性认证证书及</w:t>
      </w:r>
      <w:r>
        <w:rPr>
          <w:rFonts w:hint="eastAsia" w:ascii="宋体" w:hAnsi="宋体"/>
          <w:b/>
          <w:color w:val="FF0000"/>
          <w:sz w:val="24"/>
          <w:szCs w:val="24"/>
        </w:rPr>
        <w:t>国家</w:t>
      </w:r>
      <w:r>
        <w:rPr>
          <w:rFonts w:hint="eastAsia" w:ascii="宋体" w:hAnsi="宋体"/>
          <w:b/>
          <w:color w:val="FF0000"/>
          <w:sz w:val="24"/>
          <w:szCs w:val="24"/>
          <w:lang w:eastAsia="zh-CN"/>
        </w:rPr>
        <w:t>固定灭火系统和耐火构件质量监督检验中心出具的检测报告；</w:t>
      </w:r>
      <w:r>
        <w:rPr>
          <w:rFonts w:hint="eastAsia" w:ascii="宋体" w:hAnsi="宋体"/>
          <w:b/>
          <w:color w:val="FF0000"/>
          <w:sz w:val="24"/>
          <w:szCs w:val="24"/>
          <w:highlight w:val="none"/>
          <w:lang w:val="en-US" w:eastAsia="zh-CN"/>
        </w:rPr>
        <w:t>无机防火卷帘生产商持有的无机防火卷帘的3C认证和有相关检测资质的第三方出具的检测报告</w:t>
      </w:r>
      <w:r>
        <w:rPr>
          <w:rFonts w:hint="eastAsia" w:ascii="宋体" w:hAnsi="宋体"/>
          <w:b/>
          <w:color w:val="FF0000"/>
          <w:sz w:val="24"/>
          <w:szCs w:val="24"/>
          <w:lang w:eastAsia="zh-CN"/>
        </w:rPr>
        <w:t>。</w:t>
      </w:r>
    </w:p>
    <w:p>
      <w:pPr>
        <w:pStyle w:val="2"/>
        <w:ind w:left="962" w:leftChars="0" w:right="63"/>
        <w:jc w:val="both"/>
      </w:pPr>
    </w:p>
    <w:p>
      <w:pPr>
        <w:pStyle w:val="2"/>
        <w:ind w:left="63" w:right="63"/>
        <w:jc w:val="left"/>
        <w:rPr>
          <w:rFonts w:hint="eastAsia"/>
        </w:rPr>
      </w:pPr>
    </w:p>
    <w:p>
      <w:pPr>
        <w:pStyle w:val="2"/>
        <w:ind w:left="63" w:right="63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1818640</wp:posOffset>
            </wp:positionH>
            <wp:positionV relativeFrom="paragraph">
              <wp:posOffset>268605</wp:posOffset>
            </wp:positionV>
            <wp:extent cx="3714750" cy="2649855"/>
            <wp:effectExtent l="0" t="0" r="0" b="17145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6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图 例</w:t>
      </w:r>
    </w:p>
    <w:p>
      <w:r>
        <w:rPr>
          <w:rFonts w:hint="eastAsia" w:ascii="宋体" w:hAnsi="宋体" w:eastAsia="宋体" w:cs="Times New Roman"/>
          <w:b/>
          <w:color w:val="FF0000"/>
          <w:kern w:val="2"/>
          <w:sz w:val="24"/>
          <w:szCs w:val="24"/>
          <w:lang w:val="en-US" w:eastAsia="zh-CN" w:bidi="ar-SA"/>
        </w:rPr>
        <w:t>注：如能提供针对投标产品的IFT证书符合</w:t>
      </w:r>
      <w:r>
        <w:rPr>
          <w:rFonts w:hint="eastAsia" w:ascii="宋体" w:hAnsi="宋体" w:cs="Times New Roman"/>
          <w:b/>
          <w:color w:val="FF0000"/>
          <w:kern w:val="2"/>
          <w:sz w:val="24"/>
          <w:szCs w:val="24"/>
          <w:lang w:val="en-US" w:eastAsia="zh-CN" w:bidi="ar-SA"/>
        </w:rPr>
        <w:t>竞争性谈判</w:t>
      </w:r>
      <w:r>
        <w:rPr>
          <w:rFonts w:hint="eastAsia" w:ascii="宋体" w:hAnsi="宋体" w:eastAsia="宋体" w:cs="Times New Roman"/>
          <w:b/>
          <w:color w:val="FF0000"/>
          <w:kern w:val="2"/>
          <w:sz w:val="24"/>
          <w:szCs w:val="24"/>
          <w:lang w:val="en-US" w:eastAsia="zh-CN" w:bidi="ar-SA"/>
        </w:rPr>
        <w:t>文件要求，可以不提供检测报告。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E3367"/>
    <w:multiLevelType w:val="multilevel"/>
    <w:tmpl w:val="0BAE3367"/>
    <w:lvl w:ilvl="0" w:tentative="0">
      <w:start w:val="2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2" w:hanging="420"/>
      </w:pPr>
    </w:lvl>
    <w:lvl w:ilvl="2" w:tentative="0">
      <w:start w:val="1"/>
      <w:numFmt w:val="lowerRoman"/>
      <w:lvlText w:val="%3."/>
      <w:lvlJc w:val="right"/>
      <w:pPr>
        <w:ind w:left="1862" w:hanging="420"/>
      </w:pPr>
    </w:lvl>
    <w:lvl w:ilvl="3" w:tentative="0">
      <w:start w:val="1"/>
      <w:numFmt w:val="decimal"/>
      <w:lvlText w:val="%4."/>
      <w:lvlJc w:val="left"/>
      <w:pPr>
        <w:ind w:left="2282" w:hanging="420"/>
      </w:pPr>
    </w:lvl>
    <w:lvl w:ilvl="4" w:tentative="0">
      <w:start w:val="1"/>
      <w:numFmt w:val="lowerLetter"/>
      <w:lvlText w:val="%5)"/>
      <w:lvlJc w:val="left"/>
      <w:pPr>
        <w:ind w:left="2702" w:hanging="420"/>
      </w:pPr>
    </w:lvl>
    <w:lvl w:ilvl="5" w:tentative="0">
      <w:start w:val="1"/>
      <w:numFmt w:val="lowerRoman"/>
      <w:lvlText w:val="%6."/>
      <w:lvlJc w:val="right"/>
      <w:pPr>
        <w:ind w:left="3122" w:hanging="420"/>
      </w:pPr>
    </w:lvl>
    <w:lvl w:ilvl="6" w:tentative="0">
      <w:start w:val="1"/>
      <w:numFmt w:val="decimal"/>
      <w:lvlText w:val="%7."/>
      <w:lvlJc w:val="left"/>
      <w:pPr>
        <w:ind w:left="3542" w:hanging="420"/>
      </w:pPr>
    </w:lvl>
    <w:lvl w:ilvl="7" w:tentative="0">
      <w:start w:val="1"/>
      <w:numFmt w:val="lowerLetter"/>
      <w:lvlText w:val="%8)"/>
      <w:lvlJc w:val="left"/>
      <w:pPr>
        <w:ind w:left="3962" w:hanging="420"/>
      </w:pPr>
    </w:lvl>
    <w:lvl w:ilvl="8" w:tentative="0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B115E"/>
    <w:rsid w:val="77BB11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2021-09-22T01:50:00Z</dcterms:created>
  <dc:creator>Administrator</dc:creator>
  <cp:lastModifiedBy>Administrator</cp:lastModifiedBy>
  <dcterms:modified xsi:type="dcterms:W3CDTF">2021-09-22T01:51:15Z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2E174917EE484489AEC89FB5D7F6E7BF</vt:lpwstr>
  </property>
</Properties>
</file>