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hint="eastAsia" w:ascii="宋体" w:hAnsi="宋体" w:eastAsia="宋体" w:cs="宋体"/>
          <w:b/>
          <w:kern w:val="0"/>
          <w:sz w:val="48"/>
          <w:szCs w:val="48"/>
        </w:rPr>
      </w:pPr>
      <w:r>
        <w:rPr>
          <w:rFonts w:hint="eastAsia" w:ascii="宋体" w:hAnsi="宋体" w:eastAsia="宋体" w:cs="宋体"/>
          <w:b/>
          <w:kern w:val="0"/>
          <w:sz w:val="48"/>
          <w:szCs w:val="48"/>
        </w:rPr>
        <w:t>采购需求</w:t>
      </w:r>
    </w:p>
    <w:p>
      <w:pPr>
        <w:spacing w:line="44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为鼓励不同品牌的充分竞争，如某设备的某技术参数或要求属于个别品牌专有，则该技术参数及要求不具有限制性，投标人可对该参数或要求进行适当调整，但这种调整整体上要优于或相当于招标文件的相关要求，并说明调整理由，且该调整须经评委会审核认可。</w:t>
      </w:r>
    </w:p>
    <w:p>
      <w:pPr>
        <w:spacing w:line="44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1、在采购活动开始前没有获准采购进口产品而开展采购活动的，视同为拒绝采购进口产品。</w:t>
      </w:r>
    </w:p>
    <w:p>
      <w:pPr>
        <w:spacing w:line="44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 xml:space="preserve">2、根据“关于印发《政府采购进口产品管理办法》的通知”及“关于政府采购进口产品管理有关问题的通知”的相关规定：下列采购需求中如涉及进口产品则已履行相关论证手续。 </w:t>
      </w:r>
    </w:p>
    <w:p>
      <w:pPr>
        <w:spacing w:line="44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3、中标人提供的货物为进口产品的，供货时须向采购人提供所投进口产品的海关报关单等证明材料。</w:t>
      </w:r>
    </w:p>
    <w:p>
      <w:pPr>
        <w:spacing w:line="360" w:lineRule="auto"/>
        <w:ind w:firstLine="482" w:firstLineChars="200"/>
        <w:rPr>
          <w:rFonts w:hint="eastAsia" w:ascii="宋体" w:hAnsi="宋体" w:eastAsia="宋体" w:cs="宋体"/>
          <w:b/>
          <w:kern w:val="0"/>
          <w:sz w:val="24"/>
          <w:szCs w:val="24"/>
        </w:rPr>
      </w:pPr>
      <w:r>
        <w:rPr>
          <w:rFonts w:hint="eastAsia" w:ascii="宋体" w:hAnsi="宋体" w:eastAsia="宋体" w:cs="宋体"/>
          <w:b/>
          <w:sz w:val="24"/>
          <w:szCs w:val="24"/>
        </w:rPr>
        <w:t>4、原装进口的产品，如国内产品满足需求也可参与采购竞争。</w:t>
      </w:r>
    </w:p>
    <w:p>
      <w:pPr>
        <w:numPr>
          <w:ilvl w:val="0"/>
          <w:numId w:val="1"/>
        </w:numPr>
        <w:spacing w:line="360" w:lineRule="auto"/>
        <w:rPr>
          <w:rFonts w:hint="eastAsia" w:ascii="宋体" w:hAnsi="宋体" w:eastAsia="宋体" w:cs="宋体"/>
          <w:b/>
          <w:sz w:val="24"/>
          <w:szCs w:val="24"/>
        </w:rPr>
      </w:pPr>
      <w:r>
        <w:rPr>
          <w:rFonts w:hint="eastAsia" w:ascii="宋体" w:hAnsi="宋体" w:eastAsia="宋体" w:cs="宋体"/>
          <w:b/>
          <w:sz w:val="24"/>
          <w:szCs w:val="24"/>
        </w:rPr>
        <w:t>采购清单</w:t>
      </w:r>
    </w:p>
    <w:tbl>
      <w:tblPr>
        <w:tblStyle w:val="7"/>
        <w:tblW w:w="5000" w:type="pct"/>
        <w:tblInd w:w="0" w:type="dxa"/>
        <w:tblLayout w:type="fixed"/>
        <w:tblCellMar>
          <w:top w:w="0" w:type="dxa"/>
          <w:left w:w="108" w:type="dxa"/>
          <w:bottom w:w="0" w:type="dxa"/>
          <w:right w:w="108" w:type="dxa"/>
        </w:tblCellMar>
      </w:tblPr>
      <w:tblGrid>
        <w:gridCol w:w="704"/>
        <w:gridCol w:w="1138"/>
        <w:gridCol w:w="7076"/>
        <w:gridCol w:w="794"/>
        <w:gridCol w:w="839"/>
        <w:gridCol w:w="1332"/>
        <w:gridCol w:w="2291"/>
      </w:tblGrid>
      <w:tr>
        <w:tblPrEx>
          <w:tblCellMar>
            <w:top w:w="0" w:type="dxa"/>
            <w:left w:w="108" w:type="dxa"/>
            <w:bottom w:w="0" w:type="dxa"/>
            <w:right w:w="108" w:type="dxa"/>
          </w:tblCellMar>
        </w:tblPrEx>
        <w:trPr>
          <w:trHeight w:val="588" w:hRule="atLeast"/>
        </w:trPr>
        <w:tc>
          <w:tcPr>
            <w:tcW w:w="248" w:type="pct"/>
            <w:tcBorders>
              <w:top w:val="single" w:color="000000" w:sz="4" w:space="0"/>
              <w:left w:val="single" w:color="000000" w:sz="4" w:space="0"/>
              <w:bottom w:val="single" w:color="000000" w:sz="4" w:space="0"/>
              <w:right w:val="single" w:color="000000" w:sz="4" w:space="0"/>
            </w:tcBorders>
            <w:noWrap/>
            <w:vAlign w:val="center"/>
          </w:tcPr>
          <w:p>
            <w:pPr>
              <w:widowControl/>
              <w:spacing w:line="10" w:lineRule="atLeast"/>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序号</w:t>
            </w:r>
          </w:p>
        </w:tc>
        <w:tc>
          <w:tcPr>
            <w:tcW w:w="401" w:type="pct"/>
            <w:tcBorders>
              <w:top w:val="single" w:color="000000" w:sz="4" w:space="0"/>
              <w:left w:val="single" w:color="000000" w:sz="4" w:space="0"/>
              <w:bottom w:val="single" w:color="000000" w:sz="4" w:space="0"/>
              <w:right w:val="single" w:color="000000" w:sz="4" w:space="0"/>
            </w:tcBorders>
            <w:noWrap/>
            <w:vAlign w:val="center"/>
          </w:tcPr>
          <w:p>
            <w:pPr>
              <w:widowControl/>
              <w:spacing w:line="10" w:lineRule="atLeast"/>
              <w:jc w:val="center"/>
              <w:textAlignment w:val="center"/>
              <w:rPr>
                <w:rFonts w:hint="eastAsia" w:ascii="宋体" w:hAnsi="宋体" w:eastAsia="宋体" w:cs="宋体"/>
                <w:b/>
                <w:bCs/>
                <w:color w:val="000000"/>
                <w:sz w:val="22"/>
              </w:rPr>
            </w:pPr>
            <w:r>
              <w:rPr>
                <w:rFonts w:hint="eastAsia" w:ascii="宋体" w:hAnsi="宋体" w:eastAsia="宋体" w:cs="宋体"/>
                <w:b/>
                <w:bCs/>
                <w:color w:val="000000"/>
                <w:kern w:val="0"/>
                <w:sz w:val="22"/>
                <w:lang w:bidi="ar"/>
              </w:rPr>
              <w:t>物品名称</w:t>
            </w:r>
          </w:p>
        </w:tc>
        <w:tc>
          <w:tcPr>
            <w:tcW w:w="2494" w:type="pct"/>
            <w:tcBorders>
              <w:top w:val="single" w:color="000000" w:sz="4" w:space="0"/>
              <w:left w:val="single" w:color="000000" w:sz="4" w:space="0"/>
              <w:bottom w:val="single" w:color="000000" w:sz="4" w:space="0"/>
              <w:right w:val="single" w:color="000000" w:sz="4" w:space="0"/>
            </w:tcBorders>
            <w:noWrap/>
            <w:vAlign w:val="center"/>
          </w:tcPr>
          <w:p>
            <w:pPr>
              <w:spacing w:line="10" w:lineRule="atLeast"/>
              <w:jc w:val="center"/>
              <w:rPr>
                <w:rFonts w:hint="eastAsia" w:ascii="宋体" w:hAnsi="宋体" w:eastAsia="宋体" w:cs="宋体"/>
                <w:b/>
                <w:bCs/>
                <w:color w:val="000000"/>
                <w:sz w:val="22"/>
              </w:rPr>
            </w:pPr>
            <w:r>
              <w:rPr>
                <w:rFonts w:hint="eastAsia" w:ascii="宋体" w:hAnsi="宋体" w:eastAsia="宋体" w:cs="宋体"/>
                <w:b/>
                <w:bCs/>
                <w:color w:val="000000"/>
                <w:sz w:val="22"/>
              </w:rPr>
              <w:t>技术要求</w:t>
            </w:r>
          </w:p>
        </w:tc>
        <w:tc>
          <w:tcPr>
            <w:tcW w:w="280" w:type="pct"/>
            <w:tcBorders>
              <w:top w:val="single" w:color="000000" w:sz="4" w:space="0"/>
              <w:left w:val="single" w:color="000000" w:sz="4" w:space="0"/>
              <w:bottom w:val="single" w:color="000000" w:sz="4" w:space="0"/>
              <w:right w:val="single" w:color="000000" w:sz="4" w:space="0"/>
            </w:tcBorders>
            <w:noWrap/>
            <w:vAlign w:val="center"/>
          </w:tcPr>
          <w:p>
            <w:pPr>
              <w:widowControl/>
              <w:spacing w:line="10" w:lineRule="atLeast"/>
              <w:jc w:val="center"/>
              <w:textAlignment w:val="center"/>
              <w:rPr>
                <w:rFonts w:hint="eastAsia" w:ascii="宋体" w:hAnsi="宋体" w:eastAsia="宋体" w:cs="宋体"/>
                <w:b/>
                <w:bCs/>
                <w:color w:val="000000"/>
                <w:sz w:val="22"/>
              </w:rPr>
            </w:pPr>
            <w:r>
              <w:rPr>
                <w:rFonts w:hint="eastAsia" w:ascii="宋体" w:hAnsi="宋体" w:eastAsia="宋体" w:cs="宋体"/>
                <w:b/>
                <w:bCs/>
                <w:color w:val="000000"/>
                <w:kern w:val="0"/>
                <w:sz w:val="22"/>
                <w:lang w:bidi="ar"/>
              </w:rPr>
              <w:t>单位</w:t>
            </w:r>
          </w:p>
        </w:tc>
        <w:tc>
          <w:tcPr>
            <w:tcW w:w="296" w:type="pct"/>
            <w:tcBorders>
              <w:top w:val="single" w:color="000000" w:sz="4" w:space="0"/>
              <w:left w:val="single" w:color="000000" w:sz="4" w:space="0"/>
              <w:bottom w:val="single" w:color="000000" w:sz="4" w:space="0"/>
              <w:right w:val="single" w:color="000000" w:sz="4" w:space="0"/>
            </w:tcBorders>
            <w:noWrap/>
            <w:vAlign w:val="center"/>
          </w:tcPr>
          <w:p>
            <w:pPr>
              <w:widowControl/>
              <w:spacing w:line="10" w:lineRule="atLeast"/>
              <w:jc w:val="center"/>
              <w:textAlignment w:val="center"/>
              <w:rPr>
                <w:rFonts w:hint="eastAsia" w:ascii="宋体" w:hAnsi="宋体" w:eastAsia="宋体" w:cs="宋体"/>
                <w:b/>
                <w:bCs/>
                <w:color w:val="000000"/>
                <w:sz w:val="22"/>
              </w:rPr>
            </w:pPr>
            <w:r>
              <w:rPr>
                <w:rFonts w:hint="eastAsia" w:ascii="宋体" w:hAnsi="宋体" w:eastAsia="宋体" w:cs="宋体"/>
                <w:b/>
                <w:bCs/>
                <w:color w:val="000000"/>
                <w:kern w:val="0"/>
                <w:sz w:val="22"/>
                <w:lang w:bidi="ar"/>
              </w:rPr>
              <w:t>数 量</w:t>
            </w:r>
          </w:p>
        </w:tc>
        <w:tc>
          <w:tcPr>
            <w:tcW w:w="470" w:type="pct"/>
            <w:tcBorders>
              <w:top w:val="single" w:color="000000" w:sz="4" w:space="0"/>
              <w:left w:val="single" w:color="000000" w:sz="4" w:space="0"/>
              <w:bottom w:val="single" w:color="000000" w:sz="4" w:space="0"/>
              <w:right w:val="single" w:color="000000" w:sz="4" w:space="0"/>
            </w:tcBorders>
            <w:noWrap/>
            <w:vAlign w:val="center"/>
          </w:tcPr>
          <w:p>
            <w:pPr>
              <w:widowControl/>
              <w:spacing w:line="10" w:lineRule="atLeast"/>
              <w:jc w:val="center"/>
              <w:textAlignment w:val="center"/>
              <w:rPr>
                <w:rFonts w:hint="eastAsia" w:ascii="宋体" w:hAnsi="宋体" w:eastAsia="宋体" w:cs="宋体"/>
                <w:b/>
                <w:bCs/>
                <w:color w:val="000000"/>
                <w:sz w:val="22"/>
              </w:rPr>
            </w:pPr>
            <w:r>
              <w:rPr>
                <w:rFonts w:hint="eastAsia" w:ascii="宋体" w:hAnsi="宋体" w:eastAsia="宋体" w:cs="宋体"/>
                <w:b/>
                <w:bCs/>
                <w:color w:val="000000"/>
                <w:kern w:val="0"/>
                <w:sz w:val="22"/>
                <w:lang w:bidi="ar"/>
              </w:rPr>
              <w:t>用  途</w:t>
            </w:r>
          </w:p>
        </w:tc>
        <w:tc>
          <w:tcPr>
            <w:tcW w:w="807" w:type="pct"/>
            <w:tcBorders>
              <w:top w:val="single" w:color="000000" w:sz="4" w:space="0"/>
              <w:left w:val="single" w:color="000000" w:sz="4" w:space="0"/>
              <w:bottom w:val="single" w:color="000000" w:sz="4" w:space="0"/>
              <w:right w:val="single" w:color="000000" w:sz="4" w:space="0"/>
            </w:tcBorders>
            <w:noWrap/>
            <w:vAlign w:val="center"/>
          </w:tcPr>
          <w:p>
            <w:pPr>
              <w:widowControl/>
              <w:spacing w:line="10" w:lineRule="atLeast"/>
              <w:jc w:val="center"/>
              <w:textAlignment w:val="center"/>
              <w:rPr>
                <w:rFonts w:hint="eastAsia" w:ascii="宋体" w:hAnsi="宋体" w:eastAsia="宋体" w:cs="宋体"/>
                <w:b/>
                <w:bCs/>
                <w:color w:val="000000"/>
                <w:kern w:val="0"/>
                <w:sz w:val="22"/>
                <w:lang w:bidi="ar"/>
              </w:rPr>
            </w:pPr>
            <w:r>
              <w:rPr>
                <w:rFonts w:hint="eastAsia" w:ascii="宋体" w:hAnsi="宋体" w:eastAsia="宋体" w:cs="宋体"/>
                <w:b/>
                <w:bCs/>
                <w:color w:val="000000"/>
                <w:kern w:val="0"/>
                <w:sz w:val="22"/>
                <w:lang w:bidi="ar"/>
              </w:rPr>
              <w:t>备注</w:t>
            </w:r>
          </w:p>
        </w:tc>
      </w:tr>
      <w:tr>
        <w:tblPrEx>
          <w:tblCellMar>
            <w:top w:w="0" w:type="dxa"/>
            <w:left w:w="108" w:type="dxa"/>
            <w:bottom w:w="0" w:type="dxa"/>
            <w:right w:w="108" w:type="dxa"/>
          </w:tblCellMar>
        </w:tblPrEx>
        <w:trPr>
          <w:trHeight w:val="0" w:hRule="atLeast"/>
        </w:trPr>
        <w:tc>
          <w:tcPr>
            <w:tcW w:w="248" w:type="pct"/>
            <w:tcBorders>
              <w:top w:val="single" w:color="000000" w:sz="4" w:space="0"/>
              <w:left w:val="single" w:color="000000" w:sz="4" w:space="0"/>
              <w:bottom w:val="single" w:color="000000" w:sz="4" w:space="0"/>
              <w:right w:val="single" w:color="000000" w:sz="4" w:space="0"/>
            </w:tcBorders>
            <w:noWrap/>
            <w:vAlign w:val="center"/>
          </w:tcPr>
          <w:p>
            <w:pPr>
              <w:widowControl/>
              <w:spacing w:line="10" w:lineRule="atLeast"/>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10" w:lineRule="atLeast"/>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茶几+椅子</w:t>
            </w:r>
          </w:p>
        </w:tc>
        <w:tc>
          <w:tcPr>
            <w:tcW w:w="2494" w:type="pct"/>
            <w:tcBorders>
              <w:top w:val="single" w:color="000000" w:sz="4" w:space="0"/>
              <w:left w:val="single" w:color="000000" w:sz="4" w:space="0"/>
              <w:bottom w:val="single" w:color="000000" w:sz="4" w:space="0"/>
              <w:right w:val="single" w:color="000000" w:sz="4" w:space="0"/>
            </w:tcBorders>
            <w:noWrap w:val="0"/>
            <w:vAlign w:val="center"/>
          </w:tcPr>
          <w:p>
            <w:pPr>
              <w:spacing w:line="2" w:lineRule="atLeast"/>
              <w:rPr>
                <w:rFonts w:hint="eastAsia" w:ascii="宋体" w:hAnsi="宋体" w:eastAsia="宋体" w:cs="宋体"/>
              </w:rPr>
            </w:pPr>
            <w:r>
              <w:rPr>
                <w:rFonts w:hint="eastAsia" w:ascii="宋体" w:hAnsi="宋体" w:eastAsia="宋体" w:cs="宋体"/>
              </w:rPr>
              <w:t>休闲小圆桌：桌面直径80cm，高度75cm，板材为2.5cm厚度E1级环保高密度板材。</w:t>
            </w:r>
          </w:p>
          <w:p>
            <w:pPr>
              <w:spacing w:line="2" w:lineRule="atLeast"/>
              <w:rPr>
                <w:rFonts w:hint="eastAsia" w:ascii="宋体" w:hAnsi="宋体" w:eastAsia="宋体" w:cs="宋体"/>
              </w:rPr>
            </w:pPr>
            <w:r>
              <w:rPr>
                <w:rFonts w:hint="eastAsia" w:ascii="宋体" w:hAnsi="宋体" w:eastAsia="宋体" w:cs="宋体"/>
              </w:rPr>
              <w:t>椅子(如图所示)2把</w:t>
            </w:r>
          </w:p>
          <w:p>
            <w:pPr>
              <w:pStyle w:val="6"/>
              <w:ind w:left="0" w:leftChars="0" w:firstLine="0" w:firstLineChars="0"/>
              <w:rPr>
                <w:rFonts w:hint="eastAsia" w:ascii="宋体" w:hAnsi="宋体" w:eastAsia="宋体" w:cs="宋体"/>
              </w:rPr>
            </w:pPr>
            <w:r>
              <w:rPr>
                <w:rFonts w:hint="eastAsia" w:ascii="宋体" w:hAnsi="宋体" w:eastAsia="宋体" w:cs="宋体"/>
                <w:b/>
                <w:bCs/>
                <w:color w:val="000000"/>
                <w:kern w:val="0"/>
                <w:sz w:val="22"/>
                <w:szCs w:val="22"/>
                <w:lang w:bidi="ar"/>
              </w:rPr>
              <w:t>质保期：3年</w:t>
            </w:r>
          </w:p>
        </w:tc>
        <w:tc>
          <w:tcPr>
            <w:tcW w:w="280" w:type="pct"/>
            <w:tcBorders>
              <w:top w:val="single" w:color="000000" w:sz="4" w:space="0"/>
              <w:left w:val="single" w:color="000000" w:sz="4" w:space="0"/>
              <w:bottom w:val="single" w:color="000000" w:sz="4" w:space="0"/>
              <w:right w:val="single" w:color="000000" w:sz="4" w:space="0"/>
            </w:tcBorders>
            <w:noWrap/>
            <w:vAlign w:val="center"/>
          </w:tcPr>
          <w:p>
            <w:pPr>
              <w:widowControl/>
              <w:spacing w:line="10" w:lineRule="atLeast"/>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套</w:t>
            </w:r>
          </w:p>
        </w:tc>
        <w:tc>
          <w:tcPr>
            <w:tcW w:w="296" w:type="pct"/>
            <w:tcBorders>
              <w:top w:val="single" w:color="000000" w:sz="4" w:space="0"/>
              <w:left w:val="single" w:color="000000" w:sz="4" w:space="0"/>
              <w:bottom w:val="single" w:color="000000" w:sz="4" w:space="0"/>
              <w:right w:val="single" w:color="000000" w:sz="4" w:space="0"/>
            </w:tcBorders>
            <w:noWrap/>
            <w:vAlign w:val="center"/>
          </w:tcPr>
          <w:p>
            <w:pPr>
              <w:widowControl/>
              <w:spacing w:line="10" w:lineRule="atLeast"/>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33</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10" w:lineRule="atLeast"/>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职工之家4#一单元6-16楼，每个房间1套</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10" w:lineRule="atLeast"/>
              <w:jc w:val="center"/>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bidi="ar"/>
              </w:rPr>
              <w:drawing>
                <wp:inline distT="0" distB="0" distL="114300" distR="114300">
                  <wp:extent cx="1487805" cy="1248410"/>
                  <wp:effectExtent l="0" t="0" r="17145" b="8890"/>
                  <wp:docPr id="1" name="图片 1" descr="9a21aff7895404e9887f6c65e0313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21aff7895404e9887f6c65e0313fe"/>
                          <pic:cNvPicPr>
                            <a:picLocks noChangeAspect="1"/>
                          </pic:cNvPicPr>
                        </pic:nvPicPr>
                        <pic:blipFill>
                          <a:blip r:embed="rId4"/>
                          <a:stretch>
                            <a:fillRect/>
                          </a:stretch>
                        </pic:blipFill>
                        <pic:spPr>
                          <a:xfrm>
                            <a:off x="0" y="0"/>
                            <a:ext cx="1487805" cy="1248410"/>
                          </a:xfrm>
                          <a:prstGeom prst="rect">
                            <a:avLst/>
                          </a:prstGeom>
                          <a:noFill/>
                          <a:ln>
                            <a:noFill/>
                          </a:ln>
                        </pic:spPr>
                      </pic:pic>
                    </a:graphicData>
                  </a:graphic>
                </wp:inline>
              </w:drawing>
            </w:r>
          </w:p>
        </w:tc>
      </w:tr>
      <w:tr>
        <w:tblPrEx>
          <w:tblCellMar>
            <w:top w:w="0" w:type="dxa"/>
            <w:left w:w="108" w:type="dxa"/>
            <w:bottom w:w="0" w:type="dxa"/>
            <w:right w:w="108" w:type="dxa"/>
          </w:tblCellMar>
        </w:tblPrEx>
        <w:trPr>
          <w:trHeight w:val="0" w:hRule="atLeast"/>
        </w:trPr>
        <w:tc>
          <w:tcPr>
            <w:tcW w:w="248" w:type="pct"/>
            <w:tcBorders>
              <w:top w:val="single" w:color="000000" w:sz="4" w:space="0"/>
              <w:left w:val="single" w:color="000000" w:sz="4" w:space="0"/>
              <w:bottom w:val="single" w:color="000000" w:sz="4" w:space="0"/>
              <w:right w:val="single" w:color="000000" w:sz="4" w:space="0"/>
            </w:tcBorders>
            <w:noWrap/>
            <w:vAlign w:val="center"/>
          </w:tcPr>
          <w:p>
            <w:pPr>
              <w:widowControl/>
              <w:spacing w:line="10" w:lineRule="atLeast"/>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10" w:lineRule="atLeast"/>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四门衣柜</w:t>
            </w:r>
          </w:p>
        </w:tc>
        <w:tc>
          <w:tcPr>
            <w:tcW w:w="2494" w:type="pct"/>
            <w:tcBorders>
              <w:top w:val="single" w:color="000000" w:sz="4" w:space="0"/>
              <w:left w:val="single" w:color="000000" w:sz="4" w:space="0"/>
              <w:bottom w:val="single" w:color="000000" w:sz="4" w:space="0"/>
              <w:right w:val="single" w:color="000000" w:sz="4" w:space="0"/>
            </w:tcBorders>
            <w:noWrap w:val="0"/>
            <w:vAlign w:val="center"/>
          </w:tcPr>
          <w:p>
            <w:pPr>
              <w:spacing w:line="2" w:lineRule="atLeast"/>
              <w:rPr>
                <w:rFonts w:hint="eastAsia" w:ascii="宋体" w:hAnsi="宋体" w:eastAsia="宋体" w:cs="宋体"/>
                <w:highlight w:val="none"/>
              </w:rPr>
            </w:pPr>
            <w:r>
              <w:rPr>
                <w:rFonts w:hint="eastAsia" w:ascii="宋体" w:hAnsi="宋体" w:eastAsia="宋体" w:cs="宋体"/>
                <w:highlight w:val="none"/>
              </w:rPr>
              <w:t>规格</w:t>
            </w:r>
            <w:r>
              <w:rPr>
                <w:rFonts w:hint="eastAsia" w:ascii="宋体" w:hAnsi="宋体" w:eastAsia="宋体" w:cs="宋体"/>
                <w:highlight w:val="none"/>
                <w:lang w:eastAsia="zh-CN"/>
              </w:rPr>
              <w:t>：</w:t>
            </w:r>
            <w:r>
              <w:rPr>
                <w:rFonts w:hint="eastAsia" w:ascii="宋体" w:hAnsi="宋体" w:eastAsia="宋体" w:cs="宋体"/>
                <w:highlight w:val="none"/>
              </w:rPr>
              <w:t>长1m*宽0.6m*高2m</w:t>
            </w:r>
          </w:p>
          <w:p>
            <w:pPr>
              <w:numPr>
                <w:ilvl w:val="0"/>
                <w:numId w:val="2"/>
              </w:numPr>
              <w:spacing w:line="2" w:lineRule="atLeast"/>
              <w:rPr>
                <w:rFonts w:hint="eastAsia" w:ascii="宋体" w:hAnsi="宋体" w:eastAsia="宋体" w:cs="宋体"/>
                <w:highlight w:val="none"/>
              </w:rPr>
            </w:pPr>
            <w:r>
              <w:rPr>
                <w:rFonts w:hint="eastAsia" w:ascii="宋体" w:hAnsi="宋体" w:eastAsia="宋体" w:cs="宋体"/>
                <w:highlight w:val="none"/>
              </w:rPr>
              <w:t>衣柜门板采用16mm厚的环保E1级三聚氰胺饰面板制作，基材为环保E1级多层板，甲醛释放量≤5mg/100g。衣柜下门板带成型锁扣孔，对穿一次注塑成型锁孔设计，使门板在闭合时不与木板基材发生摩擦，增加使用寿命。</w:t>
            </w:r>
            <w:r>
              <w:rPr>
                <w:rFonts w:hint="eastAsia" w:ascii="宋体" w:hAnsi="宋体" w:eastAsia="宋体" w:cs="宋体"/>
                <w:highlight w:val="none"/>
              </w:rPr>
              <w:br w:type="textWrapping"/>
            </w:r>
            <w:r>
              <w:rPr>
                <w:rFonts w:hint="eastAsia" w:ascii="宋体" w:hAnsi="宋体" w:eastAsia="宋体" w:cs="宋体"/>
                <w:highlight w:val="none"/>
              </w:rPr>
              <w:t>2、封边：四周采用ABS封边条处理，表面光滑、平整、无毛刺、无节疤，走线孔内缘及隐蔽部位全部做封闭处理，起到开孔部位不释放甲醛特性，物理性能佳，不易变形及开裂。</w:t>
            </w:r>
            <w:r>
              <w:rPr>
                <w:rFonts w:hint="eastAsia" w:ascii="宋体" w:hAnsi="宋体" w:eastAsia="宋体" w:cs="宋体"/>
                <w:highlight w:val="none"/>
              </w:rPr>
              <w:br w:type="textWrapping"/>
            </w:r>
            <w:r>
              <w:rPr>
                <w:rFonts w:hint="eastAsia" w:ascii="宋体" w:hAnsi="宋体" w:eastAsia="宋体" w:cs="宋体"/>
                <w:highlight w:val="none"/>
              </w:rPr>
              <w:t>3、柜体结构合理，方便置物。整个衣柜要有四个独立储物空间，每扇门要求有独立锁具，柜内设4个挂衣横杆。</w:t>
            </w:r>
          </w:p>
          <w:p>
            <w:pPr>
              <w:spacing w:line="2" w:lineRule="atLeast"/>
              <w:rPr>
                <w:rFonts w:hint="eastAsia" w:ascii="宋体" w:hAnsi="宋体" w:eastAsia="宋体" w:cs="宋体"/>
                <w:b/>
                <w:bCs/>
                <w:highlight w:val="none"/>
              </w:rPr>
            </w:pPr>
            <w:r>
              <w:rPr>
                <w:rFonts w:hint="eastAsia" w:ascii="宋体" w:hAnsi="宋体" w:eastAsia="宋体" w:cs="宋体"/>
                <w:b/>
                <w:bCs/>
                <w:highlight w:val="none"/>
              </w:rPr>
              <w:t>质保期：3年</w:t>
            </w:r>
          </w:p>
          <w:p>
            <w:pPr>
              <w:spacing w:line="2" w:lineRule="atLeast"/>
              <w:rPr>
                <w:rFonts w:hint="eastAsia" w:ascii="宋体" w:hAnsi="宋体" w:eastAsia="宋体" w:cs="宋体"/>
                <w:highlight w:val="none"/>
              </w:rPr>
            </w:pPr>
            <w:r>
              <w:rPr>
                <w:rFonts w:hint="eastAsia" w:ascii="宋体" w:hAnsi="宋体" w:eastAsia="宋体" w:cs="宋体"/>
                <w:b/>
                <w:bCs/>
                <w:highlight w:val="none"/>
              </w:rPr>
              <w:t>需提供长*宽：50㎝*50㎝的衣柜板材样品</w:t>
            </w:r>
          </w:p>
        </w:tc>
        <w:tc>
          <w:tcPr>
            <w:tcW w:w="280" w:type="pct"/>
            <w:tcBorders>
              <w:top w:val="single" w:color="000000" w:sz="4" w:space="0"/>
              <w:left w:val="single" w:color="000000" w:sz="4" w:space="0"/>
              <w:bottom w:val="single" w:color="000000" w:sz="4" w:space="0"/>
              <w:right w:val="single" w:color="000000" w:sz="4" w:space="0"/>
            </w:tcBorders>
            <w:noWrap/>
            <w:vAlign w:val="center"/>
          </w:tcPr>
          <w:p>
            <w:pPr>
              <w:widowControl/>
              <w:spacing w:line="10" w:lineRule="atLeast"/>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组</w:t>
            </w:r>
          </w:p>
        </w:tc>
        <w:tc>
          <w:tcPr>
            <w:tcW w:w="296" w:type="pct"/>
            <w:tcBorders>
              <w:top w:val="single" w:color="000000" w:sz="4" w:space="0"/>
              <w:left w:val="single" w:color="000000" w:sz="4" w:space="0"/>
              <w:bottom w:val="single" w:color="000000" w:sz="4" w:space="0"/>
              <w:right w:val="single" w:color="000000" w:sz="4" w:space="0"/>
            </w:tcBorders>
            <w:noWrap/>
            <w:vAlign w:val="center"/>
          </w:tcPr>
          <w:p>
            <w:pPr>
              <w:widowControl/>
              <w:spacing w:line="10" w:lineRule="atLeast"/>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207</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10" w:lineRule="atLeast"/>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和平苑公寓每房间1组</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10" w:lineRule="atLeast"/>
              <w:textAlignment w:val="center"/>
              <w:rPr>
                <w:rFonts w:hint="eastAsia" w:ascii="宋体" w:hAnsi="宋体" w:eastAsia="宋体" w:cs="宋体"/>
                <w:color w:val="000000"/>
                <w:kern w:val="0"/>
                <w:sz w:val="22"/>
                <w:lang w:bidi="ar"/>
              </w:rPr>
            </w:pPr>
            <w:r>
              <w:rPr>
                <w:rFonts w:hint="eastAsia" w:ascii="宋体" w:hAnsi="宋体" w:eastAsia="宋体" w:cs="宋体"/>
              </w:rPr>
              <w:drawing>
                <wp:anchor distT="0" distB="0" distL="114300" distR="114300" simplePos="0" relativeHeight="251662336" behindDoc="0" locked="0" layoutInCell="1" allowOverlap="1">
                  <wp:simplePos x="0" y="0"/>
                  <wp:positionH relativeFrom="column">
                    <wp:posOffset>264795</wp:posOffset>
                  </wp:positionH>
                  <wp:positionV relativeFrom="paragraph">
                    <wp:posOffset>107950</wp:posOffset>
                  </wp:positionV>
                  <wp:extent cx="1206500" cy="2044065"/>
                  <wp:effectExtent l="0" t="0" r="12700" b="13335"/>
                  <wp:wrapTopAndBottom/>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5"/>
                          <a:stretch>
                            <a:fillRect/>
                          </a:stretch>
                        </pic:blipFill>
                        <pic:spPr>
                          <a:xfrm>
                            <a:off x="0" y="0"/>
                            <a:ext cx="1206500" cy="2044065"/>
                          </a:xfrm>
                          <a:prstGeom prst="rect">
                            <a:avLst/>
                          </a:prstGeom>
                          <a:noFill/>
                          <a:ln>
                            <a:noFill/>
                          </a:ln>
                        </pic:spPr>
                      </pic:pic>
                    </a:graphicData>
                  </a:graphic>
                </wp:anchor>
              </w:drawing>
            </w:r>
          </w:p>
        </w:tc>
      </w:tr>
      <w:tr>
        <w:tblPrEx>
          <w:tblCellMar>
            <w:top w:w="0" w:type="dxa"/>
            <w:left w:w="108" w:type="dxa"/>
            <w:bottom w:w="0" w:type="dxa"/>
            <w:right w:w="108" w:type="dxa"/>
          </w:tblCellMar>
        </w:tblPrEx>
        <w:trPr>
          <w:trHeight w:val="717" w:hRule="atLeast"/>
        </w:trPr>
        <w:tc>
          <w:tcPr>
            <w:tcW w:w="248" w:type="pct"/>
            <w:tcBorders>
              <w:top w:val="single" w:color="000000" w:sz="4" w:space="0"/>
              <w:left w:val="single" w:color="000000" w:sz="4" w:space="0"/>
              <w:bottom w:val="single" w:color="000000" w:sz="4" w:space="0"/>
              <w:right w:val="single" w:color="000000" w:sz="4" w:space="0"/>
            </w:tcBorders>
            <w:noWrap/>
            <w:vAlign w:val="center"/>
          </w:tcPr>
          <w:p>
            <w:pPr>
              <w:widowControl/>
              <w:spacing w:line="10" w:lineRule="atLeast"/>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3</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10" w:lineRule="atLeast"/>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桌椅</w:t>
            </w:r>
          </w:p>
        </w:tc>
        <w:tc>
          <w:tcPr>
            <w:tcW w:w="249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 w:lineRule="atLeast"/>
              <w:rPr>
                <w:rFonts w:hint="eastAsia" w:ascii="宋体" w:hAnsi="宋体" w:eastAsia="宋体" w:cs="宋体"/>
                <w:szCs w:val="21"/>
                <w:highlight w:val="none"/>
              </w:rPr>
            </w:pPr>
            <w:r>
              <w:rPr>
                <w:rFonts w:hint="eastAsia" w:ascii="宋体" w:hAnsi="宋体" w:eastAsia="宋体" w:cs="宋体"/>
                <w:szCs w:val="21"/>
                <w:highlight w:val="none"/>
              </w:rPr>
              <w:t>1桌+2椅</w:t>
            </w:r>
          </w:p>
          <w:p>
            <w:pPr>
              <w:widowControl/>
              <w:spacing w:line="2" w:lineRule="atLeast"/>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 xml:space="preserve">桌子：120cm*40cm*76cm   台面厚度：4.0cm   脚垫厚度：2.5cm  </w:t>
            </w:r>
          </w:p>
          <w:p>
            <w:pPr>
              <w:widowControl/>
              <w:spacing w:line="2" w:lineRule="atLeast"/>
              <w:rPr>
                <w:rFonts w:hint="eastAsia" w:ascii="宋体" w:hAnsi="宋体" w:eastAsia="宋体" w:cs="宋体"/>
                <w:szCs w:val="21"/>
                <w:highlight w:val="none"/>
                <w:lang w:eastAsia="zh-CN"/>
              </w:rPr>
            </w:pPr>
            <w:r>
              <w:rPr>
                <w:rFonts w:hint="eastAsia" w:ascii="宋体" w:hAnsi="宋体" w:eastAsia="宋体" w:cs="宋体"/>
                <w:szCs w:val="21"/>
                <w:highlight w:val="none"/>
              </w:rPr>
              <w:t>抽屉：长：57.5-58.5CM  宽：9-12CM  深度：38-39CM</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基材应与桌面主材一致</w:t>
            </w:r>
            <w:r>
              <w:rPr>
                <w:rFonts w:hint="eastAsia" w:ascii="宋体" w:hAnsi="宋体" w:eastAsia="宋体" w:cs="宋体"/>
                <w:szCs w:val="21"/>
                <w:highlight w:val="none"/>
                <w:lang w:eastAsia="zh-CN"/>
              </w:rPr>
              <w:t>。</w:t>
            </w:r>
          </w:p>
          <w:p>
            <w:pPr>
              <w:widowControl/>
              <w:spacing w:line="2" w:lineRule="atLeast"/>
              <w:rPr>
                <w:rFonts w:hint="eastAsia" w:ascii="宋体" w:hAnsi="宋体" w:eastAsia="宋体" w:cs="宋体"/>
                <w:szCs w:val="21"/>
                <w:highlight w:val="none"/>
                <w:lang w:eastAsia="zh-CN"/>
              </w:rPr>
            </w:pPr>
            <w:r>
              <w:rPr>
                <w:rFonts w:hint="eastAsia" w:ascii="宋体" w:hAnsi="宋体" w:eastAsia="宋体" w:cs="宋体"/>
                <w:szCs w:val="21"/>
                <w:highlight w:val="none"/>
              </w:rPr>
              <w:t>材质：</w:t>
            </w:r>
            <w:r>
              <w:rPr>
                <w:rFonts w:hint="eastAsia" w:ascii="宋体" w:hAnsi="宋体" w:eastAsia="宋体" w:cs="宋体"/>
                <w:szCs w:val="21"/>
                <w:highlight w:val="none"/>
                <w:lang w:val="en-US" w:eastAsia="zh-CN"/>
              </w:rPr>
              <w:t>多层</w:t>
            </w:r>
            <w:r>
              <w:rPr>
                <w:rFonts w:hint="eastAsia" w:ascii="宋体" w:hAnsi="宋体" w:eastAsia="宋体" w:cs="宋体"/>
                <w:szCs w:val="21"/>
                <w:highlight w:val="none"/>
              </w:rPr>
              <w:t>板+钢架</w:t>
            </w:r>
            <w:r>
              <w:rPr>
                <w:rFonts w:hint="eastAsia" w:ascii="宋体" w:hAnsi="宋体" w:eastAsia="宋体" w:cs="宋体"/>
                <w:szCs w:val="21"/>
                <w:highlight w:val="none"/>
                <w:lang w:eastAsia="zh-CN"/>
              </w:rPr>
              <w:t>，</w:t>
            </w:r>
            <w:r>
              <w:rPr>
                <w:rFonts w:hint="eastAsia" w:ascii="宋体" w:hAnsi="宋体" w:eastAsia="宋体" w:cs="宋体"/>
                <w:szCs w:val="21"/>
                <w:highlight w:val="none"/>
              </w:rPr>
              <w:t>基材采用优质E1级多层板，面材采用优质三聚氰胺饰面。符合GB18580-2017甲醛释放量低于0.05mg/m³，台面及侧边厚度≥40mm</w:t>
            </w:r>
          </w:p>
          <w:p>
            <w:pPr>
              <w:widowControl/>
              <w:spacing w:line="2" w:lineRule="atLeast"/>
              <w:rPr>
                <w:rFonts w:hint="eastAsia" w:ascii="宋体" w:hAnsi="宋体" w:eastAsia="宋体" w:cs="宋体"/>
                <w:szCs w:val="21"/>
                <w:highlight w:val="none"/>
              </w:rPr>
            </w:pPr>
            <w:r>
              <w:rPr>
                <w:rFonts w:hint="eastAsia" w:ascii="宋体" w:hAnsi="宋体" w:eastAsia="宋体" w:cs="宋体"/>
                <w:szCs w:val="21"/>
                <w:highlight w:val="none"/>
              </w:rPr>
              <w:t>封边采用全自动封边机，优质PVC边条厚度≥2mm。高温热熔胶，永不脱落。</w:t>
            </w:r>
          </w:p>
          <w:p>
            <w:pPr>
              <w:widowControl/>
              <w:spacing w:line="2" w:lineRule="atLeast"/>
              <w:rPr>
                <w:rFonts w:hint="eastAsia" w:ascii="宋体" w:hAnsi="宋体" w:eastAsia="宋体" w:cs="宋体"/>
                <w:szCs w:val="21"/>
                <w:highlight w:val="none"/>
              </w:rPr>
            </w:pPr>
            <w:r>
              <w:rPr>
                <w:rFonts w:hint="eastAsia" w:ascii="宋体" w:hAnsi="宋体" w:eastAsia="宋体" w:cs="宋体"/>
                <w:szCs w:val="21"/>
                <w:highlight w:val="none"/>
              </w:rPr>
              <w:t>桌架采用30*50mm镀锌无缝方管经特殊工艺弯成圆头，拆弯部位平整圆滑无凹槽材质厚度为1.6mm；部分焊接采用二氧化碳保护焊接，铁板表面经除油，去锈，磷化静电喷粉、高温固化而成；</w:t>
            </w:r>
          </w:p>
          <w:p>
            <w:pPr>
              <w:widowControl/>
              <w:spacing w:line="2" w:lineRule="atLeast"/>
              <w:rPr>
                <w:rFonts w:hint="eastAsia" w:ascii="宋体" w:hAnsi="宋体" w:eastAsia="宋体" w:cs="宋体"/>
                <w:szCs w:val="21"/>
                <w:highlight w:val="none"/>
                <w:lang w:val="en-US" w:eastAsia="zh-CN"/>
              </w:rPr>
            </w:pPr>
            <w:r>
              <w:rPr>
                <w:rFonts w:hint="eastAsia" w:ascii="宋体" w:hAnsi="宋体" w:eastAsia="宋体" w:cs="宋体"/>
                <w:b/>
                <w:bCs/>
                <w:highlight w:val="none"/>
              </w:rPr>
              <w:t>需提供：</w:t>
            </w:r>
            <w:r>
              <w:rPr>
                <w:rFonts w:hint="eastAsia" w:ascii="宋体" w:hAnsi="宋体" w:eastAsia="宋体" w:cs="宋体"/>
                <w:b/>
                <w:bCs/>
                <w:highlight w:val="none"/>
                <w:lang w:eastAsia="zh-CN"/>
              </w:rPr>
              <w:t>桌子</w:t>
            </w:r>
            <w:r>
              <w:rPr>
                <w:rFonts w:hint="eastAsia" w:ascii="宋体" w:hAnsi="宋体" w:eastAsia="宋体" w:cs="宋体"/>
                <w:b/>
                <w:bCs/>
                <w:highlight w:val="none"/>
              </w:rPr>
              <w:t>板材样品</w:t>
            </w:r>
            <w:r>
              <w:rPr>
                <w:rFonts w:hint="eastAsia" w:ascii="宋体" w:hAnsi="宋体" w:eastAsia="宋体" w:cs="宋体"/>
                <w:b/>
                <w:bCs/>
                <w:highlight w:val="none"/>
                <w:lang w:eastAsia="zh-CN"/>
              </w:rPr>
              <w:t>，桌架方管样品</w:t>
            </w:r>
          </w:p>
          <w:p>
            <w:pPr>
              <w:widowControl/>
              <w:spacing w:line="2" w:lineRule="atLeast"/>
              <w:rPr>
                <w:rFonts w:hint="eastAsia" w:ascii="宋体" w:hAnsi="宋体" w:eastAsia="宋体" w:cs="宋体"/>
                <w:szCs w:val="21"/>
                <w:highlight w:val="none"/>
              </w:rPr>
            </w:pP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钢木椅子：</w:t>
            </w:r>
          </w:p>
          <w:p>
            <w:pPr>
              <w:widowControl/>
              <w:spacing w:line="2" w:lineRule="atLeast"/>
              <w:rPr>
                <w:rFonts w:hint="eastAsia" w:ascii="宋体" w:hAnsi="宋体" w:eastAsia="宋体" w:cs="宋体"/>
                <w:szCs w:val="21"/>
                <w:highlight w:val="none"/>
              </w:rPr>
            </w:pPr>
            <w:r>
              <w:rPr>
                <w:rFonts w:hint="eastAsia" w:ascii="宋体" w:hAnsi="宋体" w:eastAsia="宋体" w:cs="宋体"/>
                <w:szCs w:val="21"/>
                <w:highlight w:val="none"/>
              </w:rPr>
              <w:t>材质：板材+钢架</w:t>
            </w:r>
          </w:p>
          <w:p>
            <w:pPr>
              <w:widowControl/>
              <w:spacing w:line="2" w:lineRule="atLeast"/>
              <w:rPr>
                <w:rFonts w:hint="eastAsia" w:ascii="宋体" w:hAnsi="宋体" w:eastAsia="宋体" w:cs="宋体"/>
                <w:color w:val="000000"/>
                <w:kern w:val="0"/>
                <w:szCs w:val="21"/>
                <w:highlight w:val="none"/>
                <w:lang w:bidi="ar"/>
              </w:rPr>
            </w:pPr>
            <w:r>
              <w:rPr>
                <w:rFonts w:hint="eastAsia" w:ascii="宋体" w:hAnsi="宋体" w:eastAsia="宋体" w:cs="宋体"/>
                <w:szCs w:val="21"/>
                <w:highlight w:val="none"/>
              </w:rPr>
              <w:drawing>
                <wp:anchor distT="0" distB="0" distL="114300" distR="114300" simplePos="0" relativeHeight="251663360" behindDoc="0" locked="0" layoutInCell="1" allowOverlap="1">
                  <wp:simplePos x="0" y="0"/>
                  <wp:positionH relativeFrom="column">
                    <wp:posOffset>2675890</wp:posOffset>
                  </wp:positionH>
                  <wp:positionV relativeFrom="paragraph">
                    <wp:posOffset>319405</wp:posOffset>
                  </wp:positionV>
                  <wp:extent cx="0" cy="1226820"/>
                  <wp:effectExtent l="0" t="0" r="0" b="0"/>
                  <wp:wrapNone/>
                  <wp:docPr id="2" name="图片_14"/>
                  <wp:cNvGraphicFramePr/>
                  <a:graphic xmlns:a="http://schemas.openxmlformats.org/drawingml/2006/main">
                    <a:graphicData uri="http://schemas.openxmlformats.org/drawingml/2006/picture">
                      <pic:pic xmlns:pic="http://schemas.openxmlformats.org/drawingml/2006/picture">
                        <pic:nvPicPr>
                          <pic:cNvPr id="2" name="图片_14"/>
                          <pic:cNvPicPr/>
                        </pic:nvPicPr>
                        <pic:blipFill>
                          <a:blip r:embed="rId6"/>
                          <a:stretch>
                            <a:fillRect/>
                          </a:stretch>
                        </pic:blipFill>
                        <pic:spPr>
                          <a:xfrm>
                            <a:off x="0" y="0"/>
                            <a:ext cx="0" cy="1226820"/>
                          </a:xfrm>
                          <a:prstGeom prst="rect">
                            <a:avLst/>
                          </a:prstGeom>
                          <a:noFill/>
                          <a:ln>
                            <a:noFill/>
                          </a:ln>
                        </pic:spPr>
                      </pic:pic>
                    </a:graphicData>
                  </a:graphic>
                </wp:anchor>
              </w:drawing>
            </w:r>
            <w:r>
              <w:rPr>
                <w:rFonts w:hint="eastAsia" w:ascii="宋体" w:hAnsi="宋体" w:eastAsia="宋体" w:cs="宋体"/>
                <w:szCs w:val="21"/>
                <w:highlight w:val="none"/>
              </w:rPr>
              <w:t>标准</w:t>
            </w:r>
            <w:r>
              <w:rPr>
                <w:rFonts w:hint="eastAsia" w:ascii="宋体" w:hAnsi="宋体" w:eastAsia="宋体" w:cs="宋体"/>
                <w:szCs w:val="21"/>
                <w:highlight w:val="none"/>
                <w:lang w:eastAsia="zh-CN"/>
              </w:rPr>
              <w:t>：</w:t>
            </w:r>
            <w:r>
              <w:rPr>
                <w:rFonts w:hint="eastAsia" w:ascii="宋体" w:hAnsi="宋体" w:eastAsia="宋体" w:cs="宋体"/>
                <w:szCs w:val="21"/>
                <w:highlight w:val="none"/>
              </w:rPr>
              <w:t>基材采用优质E1级</w:t>
            </w:r>
            <w:r>
              <w:rPr>
                <w:rFonts w:hint="eastAsia" w:ascii="宋体" w:hAnsi="宋体" w:eastAsia="宋体" w:cs="宋体"/>
                <w:szCs w:val="21"/>
                <w:highlight w:val="none"/>
                <w:lang w:eastAsia="zh-CN"/>
              </w:rPr>
              <w:t>环保颗粒板</w:t>
            </w:r>
            <w:r>
              <w:rPr>
                <w:rFonts w:hint="eastAsia" w:ascii="宋体" w:hAnsi="宋体" w:eastAsia="宋体" w:cs="宋体"/>
                <w:szCs w:val="21"/>
                <w:highlight w:val="none"/>
              </w:rPr>
              <w:t>，面材采用优质三聚氰胺饰面</w:t>
            </w:r>
            <w:r>
              <w:rPr>
                <w:rFonts w:hint="eastAsia" w:ascii="宋体" w:hAnsi="宋体" w:eastAsia="宋体" w:cs="宋体"/>
                <w:szCs w:val="21"/>
                <w:highlight w:val="none"/>
                <w:lang w:val="en-US" w:eastAsia="zh-CN"/>
              </w:rPr>
              <w:t>，</w:t>
            </w:r>
            <w:r>
              <w:rPr>
                <w:rFonts w:hint="eastAsia" w:ascii="宋体" w:hAnsi="宋体" w:eastAsia="宋体" w:cs="宋体"/>
                <w:szCs w:val="21"/>
                <w:highlight w:val="none"/>
              </w:rPr>
              <w:t>面材具有防火、防污染、易清洁等特点，面板厚度≥2.5cm，颜色：浅胡桃色；</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钢架：采用≥3*3cm优质镀锌钢管，钢材厚度≥1.2mm，结实耐用，承重力强,侧向抗压好，采用环保油漆，颜色：白色，烤漆工艺，无异味</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配件：应用优质五金配件，固定牢固，稳固承重，经久耐用；</w:t>
            </w:r>
          </w:p>
          <w:p>
            <w:pPr>
              <w:pStyle w:val="5"/>
              <w:widowControl/>
              <w:spacing w:before="0" w:beforeAutospacing="0" w:after="0" w:afterAutospacing="0" w:line="2" w:lineRule="atLeast"/>
              <w:rPr>
                <w:rFonts w:hint="eastAsia" w:ascii="宋体" w:hAnsi="宋体" w:eastAsia="宋体" w:cs="宋体"/>
                <w:color w:val="000000"/>
                <w:sz w:val="21"/>
                <w:szCs w:val="21"/>
                <w:highlight w:val="none"/>
                <w:lang w:bidi="ar"/>
              </w:rPr>
            </w:pPr>
            <w:r>
              <w:rPr>
                <w:rFonts w:hint="eastAsia" w:ascii="宋体" w:hAnsi="宋体" w:eastAsia="宋体" w:cs="宋体"/>
                <w:color w:val="000000"/>
                <w:sz w:val="21"/>
                <w:szCs w:val="21"/>
                <w:highlight w:val="none"/>
                <w:lang w:bidi="ar"/>
              </w:rPr>
              <w:t>规格：如图（误差±5cm）。</w:t>
            </w:r>
          </w:p>
          <w:p>
            <w:pPr>
              <w:widowControl/>
              <w:spacing w:line="2" w:lineRule="atLeast"/>
              <w:rPr>
                <w:rFonts w:hint="eastAsia" w:ascii="宋体" w:hAnsi="宋体" w:eastAsia="宋体" w:cs="宋体"/>
                <w:szCs w:val="21"/>
                <w:highlight w:val="none"/>
                <w:lang w:val="en-US" w:eastAsia="zh-CN"/>
              </w:rPr>
            </w:pPr>
            <w:r>
              <w:rPr>
                <w:rFonts w:hint="eastAsia" w:ascii="宋体" w:hAnsi="宋体" w:eastAsia="宋体" w:cs="宋体"/>
                <w:b/>
                <w:bCs/>
                <w:highlight w:val="none"/>
              </w:rPr>
              <w:t>需提供：</w:t>
            </w:r>
            <w:r>
              <w:rPr>
                <w:rFonts w:hint="eastAsia" w:ascii="宋体" w:hAnsi="宋体" w:eastAsia="宋体" w:cs="宋体"/>
                <w:b/>
                <w:bCs/>
                <w:highlight w:val="none"/>
                <w:lang w:eastAsia="zh-CN"/>
              </w:rPr>
              <w:t>椅子</w:t>
            </w:r>
            <w:r>
              <w:rPr>
                <w:rFonts w:hint="eastAsia" w:ascii="宋体" w:hAnsi="宋体" w:eastAsia="宋体" w:cs="宋体"/>
                <w:b/>
                <w:bCs/>
                <w:highlight w:val="none"/>
              </w:rPr>
              <w:t>板材样品</w:t>
            </w:r>
            <w:r>
              <w:rPr>
                <w:rFonts w:hint="eastAsia" w:ascii="宋体" w:hAnsi="宋体" w:eastAsia="宋体" w:cs="宋体"/>
                <w:b/>
                <w:bCs/>
                <w:highlight w:val="none"/>
                <w:lang w:eastAsia="zh-CN"/>
              </w:rPr>
              <w:t>，椅架钢管样品</w:t>
            </w:r>
          </w:p>
          <w:p>
            <w:pPr>
              <w:pStyle w:val="5"/>
              <w:widowControl/>
              <w:spacing w:before="0" w:beforeAutospacing="0" w:after="0" w:afterAutospacing="0" w:line="2" w:lineRule="atLeast"/>
              <w:rPr>
                <w:rFonts w:hint="eastAsia" w:ascii="宋体" w:hAnsi="宋体" w:eastAsia="宋体" w:cs="宋体"/>
                <w:color w:val="000000"/>
                <w:sz w:val="21"/>
                <w:szCs w:val="21"/>
                <w:highlight w:val="none"/>
                <w:lang w:bidi="ar"/>
              </w:rPr>
            </w:pPr>
            <w:r>
              <w:rPr>
                <w:rFonts w:hint="eastAsia" w:ascii="宋体" w:hAnsi="宋体" w:eastAsia="宋体" w:cs="宋体"/>
                <w:b/>
                <w:bCs/>
                <w:color w:val="000000"/>
                <w:sz w:val="21"/>
                <w:szCs w:val="21"/>
                <w:highlight w:val="none"/>
                <w:lang w:bidi="ar"/>
              </w:rPr>
              <w:t>质保期：3年</w:t>
            </w:r>
          </w:p>
        </w:tc>
        <w:tc>
          <w:tcPr>
            <w:tcW w:w="280" w:type="pct"/>
            <w:tcBorders>
              <w:top w:val="single" w:color="000000" w:sz="4" w:space="0"/>
              <w:left w:val="single" w:color="000000" w:sz="4" w:space="0"/>
              <w:bottom w:val="single" w:color="000000" w:sz="4" w:space="0"/>
              <w:right w:val="single" w:color="000000" w:sz="4" w:space="0"/>
            </w:tcBorders>
            <w:noWrap/>
            <w:vAlign w:val="center"/>
          </w:tcPr>
          <w:p>
            <w:pPr>
              <w:widowControl/>
              <w:spacing w:line="10" w:lineRule="atLeast"/>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套</w:t>
            </w:r>
          </w:p>
        </w:tc>
        <w:tc>
          <w:tcPr>
            <w:tcW w:w="296" w:type="pct"/>
            <w:tcBorders>
              <w:top w:val="single" w:color="000000" w:sz="4" w:space="0"/>
              <w:left w:val="single" w:color="000000" w:sz="4" w:space="0"/>
              <w:bottom w:val="single" w:color="000000" w:sz="4" w:space="0"/>
              <w:right w:val="single" w:color="000000" w:sz="4" w:space="0"/>
            </w:tcBorders>
            <w:noWrap/>
            <w:vAlign w:val="center"/>
          </w:tcPr>
          <w:p>
            <w:pPr>
              <w:widowControl/>
              <w:spacing w:line="10" w:lineRule="atLeast"/>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207</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10" w:lineRule="atLeast"/>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和平苑公寓每房间1套</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10" w:lineRule="atLeast"/>
              <w:jc w:val="center"/>
              <w:textAlignment w:val="center"/>
              <w:rPr>
                <w:rFonts w:hint="eastAsia" w:ascii="宋体" w:hAnsi="宋体" w:eastAsia="宋体" w:cs="宋体"/>
                <w:color w:val="000000"/>
                <w:kern w:val="0"/>
                <w:sz w:val="22"/>
                <w:lang w:bidi="ar"/>
              </w:rPr>
            </w:pPr>
            <w:r>
              <w:rPr>
                <w:rStyle w:val="9"/>
                <w:rFonts w:hint="eastAsia" w:ascii="宋体" w:hAnsi="宋体" w:eastAsia="宋体" w:cs="宋体"/>
                <w:b/>
                <w:bCs/>
                <w:color w:val="000000"/>
                <w:szCs w:val="21"/>
              </w:rPr>
              <w:drawing>
                <wp:inline distT="0" distB="0" distL="114300" distR="114300">
                  <wp:extent cx="1266825" cy="1052830"/>
                  <wp:effectExtent l="0" t="0" r="9525" b="13970"/>
                  <wp:docPr id="5" name="图片 2" descr="微信图片_20200729195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微信图片_20200729195757"/>
                          <pic:cNvPicPr>
                            <a:picLocks noChangeAspect="1"/>
                          </pic:cNvPicPr>
                        </pic:nvPicPr>
                        <pic:blipFill>
                          <a:blip r:embed="rId7"/>
                          <a:stretch>
                            <a:fillRect/>
                          </a:stretch>
                        </pic:blipFill>
                        <pic:spPr>
                          <a:xfrm>
                            <a:off x="0" y="0"/>
                            <a:ext cx="1266825" cy="1052830"/>
                          </a:xfrm>
                          <a:prstGeom prst="rect">
                            <a:avLst/>
                          </a:prstGeom>
                          <a:noFill/>
                          <a:ln>
                            <a:noFill/>
                          </a:ln>
                        </pic:spPr>
                      </pic:pic>
                    </a:graphicData>
                  </a:graphic>
                </wp:inline>
              </w:drawing>
            </w:r>
            <w:r>
              <w:rPr>
                <w:rStyle w:val="9"/>
                <w:rFonts w:hint="eastAsia" w:ascii="宋体" w:hAnsi="宋体" w:eastAsia="宋体" w:cs="宋体"/>
                <w:b/>
                <w:bCs/>
                <w:color w:val="000000"/>
                <w:szCs w:val="21"/>
              </w:rPr>
              <w:drawing>
                <wp:inline distT="0" distB="0" distL="114300" distR="114300">
                  <wp:extent cx="1319530" cy="1179830"/>
                  <wp:effectExtent l="0" t="0" r="13970" b="1270"/>
                  <wp:docPr id="4" name="图片 3" descr="微信图片_20200729204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微信图片_20200729204233"/>
                          <pic:cNvPicPr>
                            <a:picLocks noChangeAspect="1"/>
                          </pic:cNvPicPr>
                        </pic:nvPicPr>
                        <pic:blipFill>
                          <a:blip r:embed="rId8"/>
                          <a:stretch>
                            <a:fillRect/>
                          </a:stretch>
                        </pic:blipFill>
                        <pic:spPr>
                          <a:xfrm>
                            <a:off x="0" y="0"/>
                            <a:ext cx="1319530" cy="1179830"/>
                          </a:xfrm>
                          <a:prstGeom prst="rect">
                            <a:avLst/>
                          </a:prstGeom>
                          <a:noFill/>
                          <a:ln>
                            <a:noFill/>
                          </a:ln>
                        </pic:spPr>
                      </pic:pic>
                    </a:graphicData>
                  </a:graphic>
                </wp:inline>
              </w:drawing>
            </w:r>
          </w:p>
        </w:tc>
      </w:tr>
      <w:tr>
        <w:tblPrEx>
          <w:tblCellMar>
            <w:top w:w="0" w:type="dxa"/>
            <w:left w:w="108" w:type="dxa"/>
            <w:bottom w:w="0" w:type="dxa"/>
            <w:right w:w="108" w:type="dxa"/>
          </w:tblCellMar>
        </w:tblPrEx>
        <w:trPr>
          <w:trHeight w:val="879" w:hRule="atLeast"/>
        </w:trPr>
        <w:tc>
          <w:tcPr>
            <w:tcW w:w="248" w:type="pct"/>
            <w:tcBorders>
              <w:top w:val="single" w:color="000000" w:sz="4" w:space="0"/>
              <w:left w:val="single" w:color="000000" w:sz="4" w:space="0"/>
              <w:bottom w:val="single" w:color="000000" w:sz="4" w:space="0"/>
              <w:right w:val="single" w:color="000000" w:sz="4" w:space="0"/>
            </w:tcBorders>
            <w:noWrap/>
            <w:vAlign w:val="center"/>
          </w:tcPr>
          <w:p>
            <w:pPr>
              <w:widowControl/>
              <w:spacing w:line="10" w:lineRule="atLeast"/>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4</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10" w:lineRule="atLeast"/>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高低床</w:t>
            </w:r>
          </w:p>
        </w:tc>
        <w:tc>
          <w:tcPr>
            <w:tcW w:w="2494" w:type="pct"/>
            <w:tcBorders>
              <w:top w:val="single" w:color="000000" w:sz="4" w:space="0"/>
              <w:left w:val="single" w:color="000000" w:sz="4" w:space="0"/>
              <w:bottom w:val="single" w:color="000000" w:sz="4" w:space="0"/>
              <w:right w:val="single" w:color="000000" w:sz="4" w:space="0"/>
            </w:tcBorders>
            <w:noWrap w:val="0"/>
            <w:vAlign w:val="center"/>
          </w:tcPr>
          <w:p>
            <w:pPr>
              <w:spacing w:line="120" w:lineRule="auto"/>
              <w:rPr>
                <w:rFonts w:hint="eastAsia" w:ascii="宋体" w:hAnsi="宋体" w:eastAsia="宋体" w:cs="宋体"/>
                <w:highlight w:val="none"/>
              </w:rPr>
            </w:pPr>
            <w:r>
              <w:rPr>
                <w:rFonts w:hint="eastAsia" w:ascii="宋体" w:hAnsi="宋体" w:eastAsia="宋体" w:cs="宋体"/>
                <w:highlight w:val="none"/>
              </w:rPr>
              <w:t>单连2人位内梯双层钢架床（长2000mm×宽900mm×高1780mm，±20mm）颜色为</w:t>
            </w:r>
            <w:r>
              <w:rPr>
                <w:rFonts w:hint="eastAsia" w:ascii="宋体" w:hAnsi="宋体" w:eastAsia="宋体" w:cs="宋体"/>
                <w:highlight w:val="none"/>
                <w:lang w:val="zh-CN"/>
              </w:rPr>
              <w:t>灰桔纹色</w:t>
            </w:r>
          </w:p>
          <w:p>
            <w:pPr>
              <w:spacing w:line="120" w:lineRule="auto"/>
              <w:rPr>
                <w:rFonts w:hint="eastAsia" w:ascii="宋体" w:hAnsi="宋体" w:eastAsia="宋体" w:cs="宋体"/>
                <w:highlight w:val="none"/>
              </w:rPr>
            </w:pPr>
            <w:r>
              <w:rPr>
                <w:rFonts w:hint="eastAsia" w:ascii="宋体" w:hAnsi="宋体" w:eastAsia="宋体" w:cs="宋体"/>
                <w:highlight w:val="none"/>
              </w:rPr>
              <w:t>一、材质要求：</w:t>
            </w:r>
          </w:p>
          <w:p>
            <w:pPr>
              <w:spacing w:line="120" w:lineRule="auto"/>
              <w:rPr>
                <w:rFonts w:hint="eastAsia" w:ascii="宋体" w:hAnsi="宋体" w:eastAsia="宋体" w:cs="宋体"/>
                <w:highlight w:val="none"/>
              </w:rPr>
            </w:pPr>
            <w:r>
              <w:rPr>
                <w:rFonts w:hint="eastAsia" w:ascii="宋体" w:hAnsi="宋体" w:eastAsia="宋体" w:cs="宋体"/>
                <w:highlight w:val="none"/>
              </w:rPr>
              <w:t>1、材质为冷轧钢材，性能符合GB716-65《普通碳素冷钢带》、GB912-66《普通碳素和低合金结构钢薄板》和GB3094-82《异形钢管》要求,管材无裂缝，管材表面无毛刺、结疤、错位、压痕或划痕。</w:t>
            </w:r>
          </w:p>
          <w:p>
            <w:pPr>
              <w:spacing w:line="120" w:lineRule="auto"/>
              <w:rPr>
                <w:rFonts w:hint="eastAsia" w:ascii="宋体" w:hAnsi="宋体" w:eastAsia="宋体" w:cs="宋体"/>
                <w:highlight w:val="none"/>
              </w:rPr>
            </w:pPr>
            <w:r>
              <w:rPr>
                <w:rFonts w:hint="eastAsia" w:ascii="宋体" w:hAnsi="宋体" w:eastAsia="宋体" w:cs="宋体"/>
                <w:highlight w:val="none"/>
              </w:rPr>
              <w:t>2、铁床的质量按照轻工行业标准QB/T1951.2—1994《金属家具质量检验及质量评定》的规定执行；铁床框架连接部分采用卡式锲入式锁扣结构连接，不采用螺丝连接（备注：立柱与长横梁和短横梁连接必须采用卡式锲入式锁扣结构连接。），每张床可承重500kg；所有钢材均采用国家标准钢，铁床部分焊接采用二氧化碳气体保护焊接，铁板表面经除油、去锈、磷化、静电喷粉、高温固化而成；外层采用聚脂环氧粉末喷塑，焊接表面波纹均匀，焊接处无夹渣、气孔、焊瘤、焊丝头、咬边、飞溅，并保证无脱焊、虚焊、假焊及焊穿等现象。</w:t>
            </w:r>
          </w:p>
          <w:p>
            <w:pPr>
              <w:spacing w:line="120" w:lineRule="auto"/>
              <w:rPr>
                <w:rFonts w:hint="eastAsia" w:ascii="宋体" w:hAnsi="宋体" w:eastAsia="宋体" w:cs="宋体"/>
                <w:highlight w:val="none"/>
              </w:rPr>
            </w:pPr>
            <w:r>
              <w:rPr>
                <w:rFonts w:hint="eastAsia" w:ascii="宋体" w:hAnsi="宋体" w:eastAsia="宋体" w:cs="宋体"/>
                <w:highlight w:val="none"/>
              </w:rPr>
              <w:t>3、制作采用GB/T3324—2008《家具床类主要尺寸》、QB/T2741-2013《学生公寓多功能家具》国家标准,铁床要求在工厂制作，现场安装。</w:t>
            </w:r>
          </w:p>
          <w:p>
            <w:pPr>
              <w:spacing w:line="120" w:lineRule="auto"/>
              <w:rPr>
                <w:rFonts w:hint="eastAsia" w:ascii="宋体" w:hAnsi="宋体" w:eastAsia="宋体" w:cs="宋体"/>
                <w:highlight w:val="none"/>
              </w:rPr>
            </w:pPr>
            <w:r>
              <w:rPr>
                <w:rFonts w:hint="eastAsia" w:ascii="宋体" w:hAnsi="宋体" w:eastAsia="宋体" w:cs="宋体"/>
                <w:highlight w:val="none"/>
              </w:rPr>
              <w:t>4、焊接要求：床体焊接部位均按照GB/T13667.3-2003标准，采用二氧化碳气体保护焊，焊点应满焊、均匀、牢固、平整，无漏焊、假焊、裂纹、烧穿、毛刺、表面气孔、夹渣、焊疤堆积等缺陷，焊接后打磨平、除刺及抛光。</w:t>
            </w:r>
          </w:p>
          <w:p>
            <w:pPr>
              <w:spacing w:line="120" w:lineRule="auto"/>
              <w:rPr>
                <w:rFonts w:hint="eastAsia" w:ascii="宋体" w:hAnsi="宋体" w:eastAsia="宋体" w:cs="宋体"/>
                <w:highlight w:val="none"/>
              </w:rPr>
            </w:pPr>
            <w:r>
              <w:rPr>
                <w:rFonts w:hint="eastAsia" w:ascii="宋体" w:hAnsi="宋体" w:eastAsia="宋体" w:cs="宋体"/>
                <w:highlight w:val="none"/>
              </w:rPr>
              <w:t>5、表面除锈镀层要求：涂饰前零部件的表面应光滑、平整，不得有开裂、脱焊、漏焊、焊渣或飞边、尖角、毛刺等可能超成机械伤害的缺陷。表面必须经过“除油—水洗—酸洗—除锈—清洗—中和—磷化—水洗—烘干”九工位处理，预备处理后表面无氧化皮、锈蚀、粘砂等其他杂质。预备处理后及时进行涂饰。</w:t>
            </w:r>
          </w:p>
          <w:p>
            <w:pPr>
              <w:spacing w:line="120" w:lineRule="auto"/>
              <w:rPr>
                <w:rFonts w:hint="eastAsia" w:ascii="宋体" w:hAnsi="宋体" w:eastAsia="宋体" w:cs="宋体"/>
                <w:highlight w:val="none"/>
              </w:rPr>
            </w:pPr>
            <w:r>
              <w:rPr>
                <w:rFonts w:hint="eastAsia" w:ascii="宋体" w:hAnsi="宋体" w:eastAsia="宋体" w:cs="宋体"/>
                <w:highlight w:val="none"/>
              </w:rPr>
              <w:t>6、喷塑要求：采用优质环保产品环氧聚脂塑粉静电喷塑，喷塑外膜的表面光滑平整，色泽均匀，喷塑层无漏喷、起泡、模糊、划痕或碰伤等缺陷。</w:t>
            </w:r>
          </w:p>
          <w:p>
            <w:pPr>
              <w:spacing w:line="120" w:lineRule="auto"/>
              <w:rPr>
                <w:rFonts w:hint="eastAsia" w:ascii="宋体" w:hAnsi="宋体" w:eastAsia="宋体" w:cs="宋体"/>
                <w:highlight w:val="none"/>
              </w:rPr>
            </w:pPr>
            <w:r>
              <w:rPr>
                <w:rFonts w:hint="eastAsia" w:ascii="宋体" w:hAnsi="宋体" w:eastAsia="宋体" w:cs="宋体"/>
                <w:highlight w:val="none"/>
              </w:rPr>
              <w:t>二、技术与标准：</w:t>
            </w:r>
          </w:p>
          <w:p>
            <w:pPr>
              <w:spacing w:line="120" w:lineRule="auto"/>
              <w:rPr>
                <w:rFonts w:hint="eastAsia" w:ascii="宋体" w:hAnsi="宋体" w:eastAsia="宋体" w:cs="宋体"/>
                <w:highlight w:val="none"/>
              </w:rPr>
            </w:pPr>
            <w:r>
              <w:rPr>
                <w:rFonts w:hint="eastAsia" w:ascii="宋体" w:hAnsi="宋体" w:eastAsia="宋体" w:cs="宋体"/>
                <w:highlight w:val="none"/>
              </w:rPr>
              <w:t>1、床立柱：采用优质冷轧钢板经特制成型线轧制而成的型钢，其立面为中空异形（方便双面喷涂，防止内部生锈，不能用方管、圆管或闭合管材），立柱正面为圆弧形设计，起到防撞作用，并有4条加强筋，立柱折边为内折，增加立柱的强度，立面成型后尺寸为70mm×70mm,准许±2mm偏离，材料厚度为1.2mm。</w:t>
            </w:r>
          </w:p>
          <w:p>
            <w:pPr>
              <w:spacing w:line="120" w:lineRule="auto"/>
              <w:rPr>
                <w:rFonts w:hint="eastAsia" w:ascii="宋体" w:hAnsi="宋体" w:eastAsia="宋体" w:cs="宋体"/>
                <w:highlight w:val="none"/>
              </w:rPr>
            </w:pPr>
            <w:r>
              <w:rPr>
                <w:rFonts w:hint="eastAsia" w:ascii="宋体" w:hAnsi="宋体" w:eastAsia="宋体" w:cs="宋体"/>
                <w:highlight w:val="none"/>
              </w:rPr>
              <w:t>2、长横梁及短横梁：采用优质冷轧钢板经特制成型线轧制而成的型钢，其立面为中空异形（方便双面喷涂，防止内部生锈，不能用方管、圆管或闭合管材），为防止头部碰伤，下方为弧形，正面有3条加强筋，横梁折边为内折，增加横梁的强度，立面成型后尺寸为90mm×40mm,准许±5mm偏离，材料厚度为1.2mm。</w:t>
            </w:r>
          </w:p>
          <w:p>
            <w:pPr>
              <w:spacing w:line="2" w:lineRule="atLeast"/>
              <w:rPr>
                <w:rFonts w:hint="eastAsia" w:ascii="宋体" w:hAnsi="宋体" w:eastAsia="宋体" w:cs="宋体"/>
                <w:highlight w:val="none"/>
              </w:rPr>
            </w:pPr>
            <w:r>
              <w:rPr>
                <w:rFonts w:hint="eastAsia" w:ascii="宋体" w:hAnsi="宋体" w:eastAsia="宋体" w:cs="宋体"/>
                <w:highlight w:val="none"/>
              </w:rPr>
              <w:t>3、床支撑：采用25mm×50mm，材料1.2mm厚优质方管制作。</w:t>
            </w:r>
          </w:p>
          <w:p>
            <w:pPr>
              <w:spacing w:line="2" w:lineRule="atLeast"/>
              <w:rPr>
                <w:rFonts w:hint="eastAsia" w:ascii="宋体" w:hAnsi="宋体" w:eastAsia="宋体" w:cs="宋体"/>
                <w:highlight w:val="none"/>
              </w:rPr>
            </w:pPr>
            <w:r>
              <w:rPr>
                <w:rFonts w:hint="eastAsia" w:ascii="宋体" w:hAnsi="宋体" w:eastAsia="宋体" w:cs="宋体"/>
                <w:highlight w:val="none"/>
              </w:rPr>
              <w:t>4、床护栏：采用φ19mm×1.0mm厚优质圆管弯制而成，高度为300mm。</w:t>
            </w:r>
          </w:p>
          <w:p>
            <w:pPr>
              <w:spacing w:line="2" w:lineRule="atLeast"/>
              <w:rPr>
                <w:rFonts w:hint="eastAsia" w:ascii="宋体" w:hAnsi="宋体" w:eastAsia="宋体" w:cs="宋体"/>
                <w:highlight w:val="none"/>
              </w:rPr>
            </w:pPr>
            <w:r>
              <w:rPr>
                <w:rFonts w:hint="eastAsia" w:ascii="宋体" w:hAnsi="宋体" w:eastAsia="宋体" w:cs="宋体"/>
                <w:highlight w:val="none"/>
              </w:rPr>
              <w:t>5、床头护栏：采用φ19mm×1.0mm厚优质圆管焊接而成。</w:t>
            </w:r>
          </w:p>
          <w:p>
            <w:pPr>
              <w:spacing w:line="2" w:lineRule="atLeast"/>
              <w:rPr>
                <w:rFonts w:hint="eastAsia" w:ascii="宋体" w:hAnsi="宋体" w:eastAsia="宋体" w:cs="宋体"/>
                <w:highlight w:val="none"/>
              </w:rPr>
            </w:pPr>
            <w:r>
              <w:rPr>
                <w:rFonts w:hint="eastAsia" w:ascii="宋体" w:hAnsi="宋体" w:eastAsia="宋体" w:cs="宋体"/>
                <w:highlight w:val="none"/>
              </w:rPr>
              <w:t>6、楼梯支架：支架采用20mm×30mm×1.2mm方管焊接而成。</w:t>
            </w:r>
          </w:p>
          <w:p>
            <w:pPr>
              <w:spacing w:line="2" w:lineRule="atLeast"/>
              <w:rPr>
                <w:rFonts w:hint="eastAsia" w:ascii="宋体" w:hAnsi="宋体" w:eastAsia="宋体" w:cs="宋体"/>
                <w:highlight w:val="none"/>
              </w:rPr>
            </w:pPr>
            <w:r>
              <w:rPr>
                <w:rFonts w:hint="eastAsia" w:ascii="宋体" w:hAnsi="宋体" w:eastAsia="宋体" w:cs="宋体"/>
                <w:highlight w:val="none"/>
              </w:rPr>
              <w:t>7、内梯踏步板：采用≥1.2mm厚优质冷轧钢板经冲压而成,表面需有防滑条纹，必须可以起到防滑作用，踏板规格尺寸为300mm×50mm。</w:t>
            </w:r>
          </w:p>
          <w:p>
            <w:pPr>
              <w:spacing w:line="2" w:lineRule="atLeast"/>
              <w:rPr>
                <w:rFonts w:hint="eastAsia" w:ascii="宋体" w:hAnsi="宋体" w:eastAsia="宋体" w:cs="宋体"/>
                <w:highlight w:val="none"/>
              </w:rPr>
            </w:pPr>
            <w:r>
              <w:rPr>
                <w:rFonts w:hint="eastAsia" w:ascii="宋体" w:hAnsi="宋体" w:eastAsia="宋体" w:cs="宋体"/>
                <w:highlight w:val="none"/>
              </w:rPr>
              <w:t>8、卡式连接处挂件：经冲床冲压成L型，需有三个连接卡口，成型后尺寸为30mm×30mm×204mm（±2mm），材料厚度为2.0mm。</w:t>
            </w:r>
          </w:p>
          <w:p>
            <w:pPr>
              <w:spacing w:line="2" w:lineRule="atLeast"/>
              <w:rPr>
                <w:rFonts w:hint="eastAsia" w:ascii="宋体" w:hAnsi="宋体" w:eastAsia="宋体" w:cs="宋体"/>
                <w:highlight w:val="none"/>
              </w:rPr>
            </w:pPr>
            <w:r>
              <w:rPr>
                <w:rFonts w:hint="eastAsia" w:ascii="宋体" w:hAnsi="宋体" w:eastAsia="宋体" w:cs="宋体"/>
                <w:highlight w:val="none"/>
              </w:rPr>
              <w:t>9、床铺板技术参数：</w:t>
            </w:r>
          </w:p>
          <w:p>
            <w:pPr>
              <w:spacing w:line="2" w:lineRule="atLeast"/>
              <w:rPr>
                <w:rFonts w:hint="eastAsia" w:ascii="宋体" w:hAnsi="宋体" w:eastAsia="宋体" w:cs="宋体"/>
                <w:highlight w:val="none"/>
              </w:rPr>
            </w:pPr>
            <w:r>
              <w:rPr>
                <w:rFonts w:hint="eastAsia" w:ascii="宋体" w:hAnsi="宋体" w:eastAsia="宋体" w:cs="宋体"/>
                <w:highlight w:val="none"/>
              </w:rPr>
              <w:t>（1）规格尺寸按铁床实际空间制作，边空隙≤10mm。</w:t>
            </w:r>
          </w:p>
          <w:p>
            <w:pPr>
              <w:spacing w:line="2" w:lineRule="atLeast"/>
              <w:rPr>
                <w:rFonts w:hint="eastAsia" w:ascii="宋体" w:hAnsi="宋体" w:eastAsia="宋体" w:cs="宋体"/>
                <w:highlight w:val="none"/>
              </w:rPr>
            </w:pPr>
            <w:r>
              <w:rPr>
                <w:rFonts w:hint="eastAsia" w:ascii="宋体" w:hAnsi="宋体" w:eastAsia="宋体" w:cs="宋体"/>
                <w:highlight w:val="none"/>
              </w:rPr>
              <w:t>（2）板条采用≥15mm厚杉木板条均匀制作，底部实木档，无结巴抛光硬木横档固定床板，所有木材均四面刨光。</w:t>
            </w:r>
          </w:p>
          <w:p>
            <w:pPr>
              <w:spacing w:line="2" w:lineRule="atLeast"/>
              <w:rPr>
                <w:rFonts w:hint="eastAsia" w:ascii="宋体" w:hAnsi="宋体" w:eastAsia="宋体" w:cs="宋体"/>
                <w:highlight w:val="none"/>
              </w:rPr>
            </w:pPr>
            <w:r>
              <w:rPr>
                <w:rFonts w:hint="eastAsia" w:ascii="宋体" w:hAnsi="宋体" w:eastAsia="宋体" w:cs="宋体"/>
                <w:highlight w:val="none"/>
              </w:rPr>
              <w:t>10、床头及床尾横梁居中位置喷涂“皖江高科”字样。</w:t>
            </w:r>
          </w:p>
          <w:p>
            <w:pPr>
              <w:spacing w:line="2" w:lineRule="atLeast"/>
              <w:rPr>
                <w:rFonts w:hint="eastAsia" w:ascii="宋体" w:hAnsi="宋体" w:eastAsia="宋体" w:cs="宋体"/>
                <w:b/>
                <w:bCs/>
                <w:highlight w:val="none"/>
              </w:rPr>
            </w:pPr>
            <w:r>
              <w:rPr>
                <w:rFonts w:hint="eastAsia" w:ascii="宋体" w:hAnsi="宋体" w:eastAsia="宋体" w:cs="宋体"/>
                <w:b/>
                <w:bCs/>
                <w:highlight w:val="none"/>
              </w:rPr>
              <w:t>质保期5年</w:t>
            </w:r>
          </w:p>
          <w:p>
            <w:pPr>
              <w:spacing w:line="2" w:lineRule="atLeast"/>
              <w:rPr>
                <w:rFonts w:hint="eastAsia" w:ascii="宋体" w:hAnsi="宋体" w:eastAsia="宋体" w:cs="宋体"/>
                <w:highlight w:val="none"/>
              </w:rPr>
            </w:pPr>
            <w:r>
              <w:rPr>
                <w:rFonts w:hint="eastAsia" w:ascii="宋体" w:hAnsi="宋体" w:eastAsia="宋体" w:cs="宋体"/>
                <w:b/>
                <w:bCs/>
                <w:highlight w:val="none"/>
              </w:rPr>
              <w:t>需提供未经喷塑</w:t>
            </w:r>
            <w:r>
              <w:rPr>
                <w:rFonts w:hint="eastAsia" w:ascii="宋体" w:hAnsi="宋体" w:eastAsia="宋体" w:cs="宋体"/>
                <w:b/>
                <w:bCs/>
                <w:highlight w:val="none"/>
                <w:lang w:eastAsia="zh-CN"/>
              </w:rPr>
              <w:t>的</w:t>
            </w:r>
            <w:r>
              <w:rPr>
                <w:rFonts w:hint="eastAsia" w:ascii="宋体" w:hAnsi="宋体" w:eastAsia="宋体" w:cs="宋体"/>
                <w:b/>
                <w:bCs/>
                <w:highlight w:val="none"/>
              </w:rPr>
              <w:t>床立柱</w:t>
            </w:r>
            <w:r>
              <w:rPr>
                <w:rFonts w:hint="eastAsia" w:ascii="宋体" w:hAnsi="宋体" w:eastAsia="宋体" w:cs="宋体"/>
                <w:b/>
                <w:bCs/>
                <w:highlight w:val="none"/>
                <w:lang w:eastAsia="zh-CN"/>
              </w:rPr>
              <w:t>、</w:t>
            </w:r>
            <w:r>
              <w:rPr>
                <w:rFonts w:hint="eastAsia" w:ascii="宋体" w:hAnsi="宋体" w:eastAsia="宋体" w:cs="宋体"/>
                <w:b/>
                <w:bCs/>
                <w:highlight w:val="none"/>
              </w:rPr>
              <w:t>长横梁及短横梁</w:t>
            </w:r>
            <w:r>
              <w:rPr>
                <w:rFonts w:hint="eastAsia" w:ascii="宋体" w:hAnsi="宋体" w:eastAsia="宋体" w:cs="宋体"/>
                <w:b/>
                <w:bCs/>
                <w:highlight w:val="none"/>
                <w:lang w:eastAsia="zh-CN"/>
              </w:rPr>
              <w:t>、</w:t>
            </w:r>
            <w:r>
              <w:rPr>
                <w:rFonts w:hint="eastAsia" w:ascii="宋体" w:hAnsi="宋体" w:eastAsia="宋体" w:cs="宋体"/>
                <w:b/>
                <w:bCs/>
                <w:highlight w:val="none"/>
              </w:rPr>
              <w:t>床支撑</w:t>
            </w:r>
            <w:r>
              <w:rPr>
                <w:rFonts w:hint="eastAsia" w:ascii="宋体" w:hAnsi="宋体" w:eastAsia="宋体" w:cs="宋体"/>
                <w:b/>
                <w:bCs/>
                <w:highlight w:val="none"/>
                <w:lang w:eastAsia="zh-CN"/>
              </w:rPr>
              <w:t>、</w:t>
            </w:r>
            <w:r>
              <w:rPr>
                <w:rFonts w:hint="eastAsia" w:ascii="宋体" w:hAnsi="宋体" w:eastAsia="宋体" w:cs="宋体"/>
                <w:b/>
                <w:bCs/>
                <w:highlight w:val="none"/>
              </w:rPr>
              <w:t>楼梯支架部件</w:t>
            </w:r>
            <w:r>
              <w:rPr>
                <w:rFonts w:hint="eastAsia" w:ascii="宋体" w:hAnsi="宋体" w:eastAsia="宋体" w:cs="宋体"/>
                <w:b/>
                <w:bCs/>
                <w:highlight w:val="none"/>
                <w:lang w:eastAsia="zh-CN"/>
              </w:rPr>
              <w:t>小样，</w:t>
            </w:r>
            <w:r>
              <w:rPr>
                <w:rFonts w:hint="eastAsia" w:ascii="宋体" w:hAnsi="宋体" w:eastAsia="宋体" w:cs="宋体"/>
                <w:b/>
                <w:bCs/>
                <w:highlight w:val="none"/>
              </w:rPr>
              <w:t>及床铺板板材样品</w:t>
            </w:r>
          </w:p>
        </w:tc>
        <w:tc>
          <w:tcPr>
            <w:tcW w:w="280" w:type="pct"/>
            <w:tcBorders>
              <w:top w:val="single" w:color="000000" w:sz="4" w:space="0"/>
              <w:left w:val="single" w:color="000000" w:sz="4" w:space="0"/>
              <w:bottom w:val="single" w:color="000000" w:sz="4" w:space="0"/>
              <w:right w:val="single" w:color="000000" w:sz="4" w:space="0"/>
            </w:tcBorders>
            <w:noWrap/>
            <w:vAlign w:val="center"/>
          </w:tcPr>
          <w:p>
            <w:pPr>
              <w:widowControl/>
              <w:spacing w:line="10" w:lineRule="atLeast"/>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张</w:t>
            </w:r>
          </w:p>
        </w:tc>
        <w:tc>
          <w:tcPr>
            <w:tcW w:w="296" w:type="pct"/>
            <w:tcBorders>
              <w:top w:val="single" w:color="000000" w:sz="4" w:space="0"/>
              <w:left w:val="single" w:color="000000" w:sz="4" w:space="0"/>
              <w:bottom w:val="single" w:color="000000" w:sz="4" w:space="0"/>
              <w:right w:val="single" w:color="000000" w:sz="4" w:space="0"/>
            </w:tcBorders>
            <w:noWrap/>
            <w:vAlign w:val="center"/>
          </w:tcPr>
          <w:p>
            <w:pPr>
              <w:widowControl/>
              <w:spacing w:line="10" w:lineRule="atLeast"/>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w:t>
            </w:r>
            <w:r>
              <w:rPr>
                <w:rFonts w:hint="eastAsia" w:ascii="宋体" w:hAnsi="宋体" w:eastAsia="宋体" w:cs="宋体"/>
                <w:color w:val="000000"/>
                <w:kern w:val="0"/>
                <w:sz w:val="22"/>
                <w:lang w:val="en-US" w:eastAsia="zh-CN" w:bidi="ar"/>
              </w:rPr>
              <w:t>3</w:t>
            </w:r>
            <w:r>
              <w:rPr>
                <w:rFonts w:hint="eastAsia" w:ascii="宋体" w:hAnsi="宋体" w:eastAsia="宋体" w:cs="宋体"/>
                <w:color w:val="000000"/>
                <w:kern w:val="0"/>
                <w:sz w:val="22"/>
                <w:lang w:bidi="ar"/>
              </w:rPr>
              <w:t>43</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10" w:lineRule="atLeast"/>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职工之家4#楼二单元，5#楼，6号楼2单元每个房间2张；和平苑333张</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10" w:lineRule="atLeast"/>
              <w:jc w:val="center"/>
              <w:textAlignment w:val="center"/>
              <w:rPr>
                <w:rFonts w:hint="eastAsia" w:ascii="宋体" w:hAnsi="宋体" w:eastAsia="宋体" w:cs="宋体"/>
              </w:rPr>
            </w:pPr>
            <w:r>
              <w:rPr>
                <w:rFonts w:hint="eastAsia" w:ascii="宋体" w:hAnsi="宋体" w:eastAsia="宋体" w:cs="宋体"/>
              </w:rPr>
              <w:drawing>
                <wp:inline distT="0" distB="0" distL="114300" distR="114300">
                  <wp:extent cx="1602105" cy="1438275"/>
                  <wp:effectExtent l="0" t="0" r="17145" b="9525"/>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9"/>
                          <a:stretch>
                            <a:fillRect/>
                          </a:stretch>
                        </pic:blipFill>
                        <pic:spPr>
                          <a:xfrm>
                            <a:off x="0" y="0"/>
                            <a:ext cx="1602105" cy="1438275"/>
                          </a:xfrm>
                          <a:prstGeom prst="rect">
                            <a:avLst/>
                          </a:prstGeom>
                          <a:noFill/>
                          <a:ln>
                            <a:noFill/>
                          </a:ln>
                        </pic:spPr>
                      </pic:pic>
                    </a:graphicData>
                  </a:graphic>
                </wp:inline>
              </w:drawing>
            </w:r>
          </w:p>
          <w:p>
            <w:pPr>
              <w:widowControl/>
              <w:spacing w:line="10" w:lineRule="atLeast"/>
              <w:jc w:val="center"/>
              <w:textAlignment w:val="center"/>
              <w:rPr>
                <w:rFonts w:hint="eastAsia" w:ascii="宋体" w:hAnsi="宋体" w:eastAsia="宋体" w:cs="宋体"/>
                <w:sz w:val="18"/>
                <w:szCs w:val="20"/>
              </w:rPr>
            </w:pPr>
            <w:r>
              <w:rPr>
                <w:rFonts w:hint="eastAsia" w:ascii="宋体" w:hAnsi="宋体" w:eastAsia="宋体" w:cs="宋体"/>
                <w:szCs w:val="21"/>
              </w:rPr>
              <w:t>附示例图（图中参数仅供参考，不作唯一要求）</w:t>
            </w:r>
          </w:p>
          <w:p>
            <w:pPr>
              <w:widowControl/>
              <w:spacing w:line="10" w:lineRule="atLeast"/>
              <w:jc w:val="center"/>
              <w:textAlignment w:val="center"/>
              <w:rPr>
                <w:rFonts w:hint="eastAsia" w:ascii="宋体" w:hAnsi="宋体" w:eastAsia="宋体" w:cs="宋体"/>
                <w:color w:val="000000"/>
                <w:kern w:val="0"/>
                <w:sz w:val="22"/>
                <w:lang w:bidi="ar"/>
              </w:rPr>
            </w:pPr>
          </w:p>
        </w:tc>
      </w:tr>
    </w:tbl>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说明：1、投标人的投标文件必须标明所投货物的品牌与参数，保证原厂正品供货，提供相关证明资料复印件加盖投标人公章。</w:t>
      </w:r>
    </w:p>
    <w:p>
      <w:pPr>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rPr>
        <w:t>2、投标人要充分考虑到实际安装内容与采购清单中数量和种类存在差异的风险，这部分的风险视为投标人在投标报价时已充分考虑到，对采</w:t>
      </w:r>
      <w:r>
        <w:rPr>
          <w:rFonts w:hint="eastAsia" w:ascii="宋体" w:hAnsi="宋体" w:eastAsia="宋体" w:cs="宋体"/>
          <w:b/>
          <w:bCs/>
          <w:sz w:val="24"/>
          <w:szCs w:val="24"/>
          <w:highlight w:val="none"/>
        </w:rPr>
        <w:t>购清单中少项和漏项内容投标人必须自行添补直至达到系统完整性要求和验收标准。</w:t>
      </w:r>
    </w:p>
    <w:p>
      <w:pPr>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3、核心产品为：高低床。</w:t>
      </w:r>
    </w:p>
    <w:p>
      <w:pPr>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4、采购清单中要求提供的样品（如有），由投标人应于开标前带至开标地点，并做好标记，便于识别和分辨。未提供样品的，则</w:t>
      </w:r>
      <w:r>
        <w:rPr>
          <w:rFonts w:hint="eastAsia" w:ascii="宋体" w:hAnsi="宋体" w:eastAsia="宋体" w:cs="宋体"/>
          <w:b/>
          <w:bCs/>
          <w:sz w:val="24"/>
          <w:szCs w:val="24"/>
          <w:highlight w:val="none"/>
          <w:lang w:eastAsia="zh-CN"/>
        </w:rPr>
        <w:t>投标</w:t>
      </w:r>
      <w:r>
        <w:rPr>
          <w:rFonts w:hint="eastAsia" w:ascii="宋体" w:hAnsi="宋体" w:eastAsia="宋体" w:cs="宋体"/>
          <w:b/>
          <w:bCs/>
          <w:sz w:val="24"/>
          <w:szCs w:val="24"/>
          <w:highlight w:val="none"/>
        </w:rPr>
        <w:t>文件不予接收。</w:t>
      </w:r>
      <w:r>
        <w:rPr>
          <w:rFonts w:hint="eastAsia" w:ascii="宋体" w:hAnsi="宋体" w:eastAsia="宋体" w:cs="宋体"/>
          <w:b/>
          <w:bCs/>
          <w:sz w:val="24"/>
          <w:szCs w:val="24"/>
          <w:highlight w:val="none"/>
          <w:lang w:eastAsia="zh-CN"/>
        </w:rPr>
        <w:t>中标</w:t>
      </w:r>
      <w:r>
        <w:rPr>
          <w:rFonts w:hint="eastAsia" w:ascii="宋体" w:hAnsi="宋体" w:eastAsia="宋体" w:cs="宋体"/>
          <w:b/>
          <w:bCs/>
          <w:sz w:val="24"/>
          <w:szCs w:val="24"/>
          <w:highlight w:val="none"/>
        </w:rPr>
        <w:t>人的样品由采购人封存保留，作为后期供货的质量标准依据。未</w:t>
      </w:r>
      <w:r>
        <w:rPr>
          <w:rFonts w:hint="eastAsia" w:ascii="宋体" w:hAnsi="宋体" w:eastAsia="宋体" w:cs="宋体"/>
          <w:b/>
          <w:bCs/>
          <w:sz w:val="24"/>
          <w:szCs w:val="24"/>
          <w:highlight w:val="none"/>
          <w:lang w:eastAsia="zh-CN"/>
        </w:rPr>
        <w:t>中标投标</w:t>
      </w:r>
      <w:r>
        <w:rPr>
          <w:rFonts w:hint="eastAsia" w:ascii="宋体" w:hAnsi="宋体" w:eastAsia="宋体" w:cs="宋体"/>
          <w:b/>
          <w:bCs/>
          <w:sz w:val="24"/>
          <w:szCs w:val="24"/>
          <w:highlight w:val="none"/>
        </w:rPr>
        <w:t>人的样品在</w:t>
      </w:r>
      <w:r>
        <w:rPr>
          <w:rFonts w:hint="eastAsia" w:ascii="宋体" w:hAnsi="宋体" w:eastAsia="宋体" w:cs="宋体"/>
          <w:b/>
          <w:bCs/>
          <w:sz w:val="24"/>
          <w:szCs w:val="24"/>
          <w:highlight w:val="none"/>
          <w:lang w:eastAsia="zh-CN"/>
        </w:rPr>
        <w:t>招标活动</w:t>
      </w:r>
      <w:r>
        <w:rPr>
          <w:rFonts w:hint="eastAsia" w:ascii="宋体" w:hAnsi="宋体" w:eastAsia="宋体" w:cs="宋体"/>
          <w:b/>
          <w:bCs/>
          <w:sz w:val="24"/>
          <w:szCs w:val="24"/>
          <w:highlight w:val="none"/>
        </w:rPr>
        <w:t>结束后自行退回。样品费用由</w:t>
      </w:r>
      <w:r>
        <w:rPr>
          <w:rFonts w:hint="eastAsia" w:ascii="宋体" w:hAnsi="宋体" w:eastAsia="宋体" w:cs="宋体"/>
          <w:b/>
          <w:bCs/>
          <w:sz w:val="24"/>
          <w:szCs w:val="24"/>
          <w:highlight w:val="none"/>
          <w:lang w:eastAsia="zh-CN"/>
        </w:rPr>
        <w:t>投标</w:t>
      </w:r>
      <w:r>
        <w:rPr>
          <w:rFonts w:hint="eastAsia" w:ascii="宋体" w:hAnsi="宋体" w:eastAsia="宋体" w:cs="宋体"/>
          <w:b/>
          <w:bCs/>
          <w:sz w:val="24"/>
          <w:szCs w:val="24"/>
          <w:highlight w:val="none"/>
        </w:rPr>
        <w:t>自行承担。</w:t>
      </w:r>
    </w:p>
    <w:p>
      <w:pPr>
        <w:spacing w:line="360" w:lineRule="auto"/>
        <w:ind w:firstLine="482" w:firstLineChars="200"/>
        <w:rPr>
          <w:rFonts w:hint="eastAsia" w:ascii="宋体" w:hAnsi="宋体" w:eastAsia="宋体" w:cs="宋体"/>
          <w:b/>
          <w:bCs/>
          <w:sz w:val="24"/>
          <w:szCs w:val="24"/>
          <w:highlight w:val="none"/>
        </w:rPr>
      </w:pPr>
    </w:p>
    <w:p>
      <w:pPr>
        <w:spacing w:line="360" w:lineRule="auto"/>
        <w:ind w:firstLine="482" w:firstLineChars="200"/>
        <w:rPr>
          <w:rFonts w:hint="eastAsia" w:ascii="宋体" w:hAnsi="宋体" w:eastAsia="宋体" w:cs="宋体"/>
          <w:b/>
          <w:bCs/>
          <w:sz w:val="24"/>
          <w:szCs w:val="24"/>
        </w:rPr>
        <w:sectPr>
          <w:pgSz w:w="16838" w:h="11906" w:orient="landscape"/>
          <w:pgMar w:top="1440" w:right="1440" w:bottom="1440" w:left="1440" w:header="851" w:footer="992" w:gutter="0"/>
          <w:cols w:space="720" w:num="1"/>
          <w:docGrid w:type="lines" w:linePitch="322" w:charSpace="0"/>
        </w:sectPr>
      </w:pPr>
    </w:p>
    <w:p>
      <w:pPr>
        <w:spacing w:line="360" w:lineRule="auto"/>
        <w:ind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二、安装验收要求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1、安装调试</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rPr>
        <w:t>货物安装在采购人指定地点，供货时间：分批次供货，合同签订后采购人确定第一批货物的供货量后20日历天内完成第一批次的货物供货及安装，其他批次供货时间需满足采购人要求</w:t>
      </w:r>
      <w:r>
        <w:rPr>
          <w:rFonts w:hint="eastAsia" w:ascii="宋体" w:hAnsi="宋体" w:eastAsia="宋体" w:cs="宋体"/>
          <w:sz w:val="24"/>
          <w:szCs w:val="24"/>
          <w:highlight w:val="none"/>
        </w:rPr>
        <w:t>。</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2、验收</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货物安装调试完毕经采购方验收合格后出具验收报告，货物投入使用。</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验收依据合同、招标文件、中标供应商投标文件和国家有关标准进行，必要时使用测试专业仪器。</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3、技术资料</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验收前，中标供应商应将全部货物资料装订成册，交采购人进行保管。</w:t>
      </w:r>
    </w:p>
    <w:p>
      <w:pPr>
        <w:spacing w:line="360" w:lineRule="auto"/>
        <w:ind w:firstLine="482" w:firstLineChars="200"/>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三、人员培训要求</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货物安装、调试、验收合格后，中标人应对采购单位的相关人员进行免费现场培训。培训内容包括基本操作、保养维修、常见故障及解决办法等。</w:t>
      </w:r>
    </w:p>
    <w:p>
      <w:pPr>
        <w:spacing w:line="360" w:lineRule="auto"/>
        <w:ind w:firstLine="482" w:firstLineChars="200"/>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四、货物质量及售后服务要求</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1、货物质量：中标人提供的货物必须是品牌范围内、全新、原装、合格正品，完全符合国家规定的质量标准、厂方的标准以及采购人的采购需求。货物完好，配件齐全。</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2、质量保证期限：投标人需提供免费质保期</w:t>
      </w:r>
      <w:r>
        <w:rPr>
          <w:rFonts w:hint="eastAsia" w:ascii="宋体" w:hAnsi="宋体" w:eastAsia="宋体" w:cs="宋体"/>
          <w:sz w:val="24"/>
          <w:szCs w:val="24"/>
          <w:highlight w:val="none"/>
          <w:lang w:val="en-US" w:eastAsia="zh-CN"/>
        </w:rPr>
        <w:t>叁</w:t>
      </w:r>
      <w:r>
        <w:rPr>
          <w:rFonts w:hint="eastAsia" w:ascii="宋体" w:hAnsi="宋体" w:eastAsia="宋体" w:cs="宋体"/>
          <w:sz w:val="24"/>
          <w:szCs w:val="24"/>
          <w:highlight w:val="none"/>
        </w:rPr>
        <w:t>年，叁年三包服务，采购清单中的免费质保期超过</w:t>
      </w:r>
      <w:r>
        <w:rPr>
          <w:rFonts w:hint="eastAsia" w:ascii="宋体" w:hAnsi="宋体" w:eastAsia="宋体" w:cs="宋体"/>
          <w:sz w:val="24"/>
          <w:szCs w:val="24"/>
          <w:highlight w:val="none"/>
          <w:lang w:val="en-US" w:eastAsia="zh-CN"/>
        </w:rPr>
        <w:t>叁</w:t>
      </w:r>
      <w:r>
        <w:rPr>
          <w:rFonts w:hint="eastAsia" w:ascii="宋体" w:hAnsi="宋体" w:eastAsia="宋体" w:cs="宋体"/>
          <w:sz w:val="24"/>
          <w:szCs w:val="24"/>
          <w:highlight w:val="none"/>
        </w:rPr>
        <w:t>年的按采购清单中的要求执行，质保期及服务期自供货安装完毕、验收合格经双方签字之日起计算。</w:t>
      </w:r>
    </w:p>
    <w:p>
      <w:pPr>
        <w:spacing w:line="360" w:lineRule="auto"/>
        <w:ind w:firstLine="480" w:firstLineChars="200"/>
        <w:rPr>
          <w:rStyle w:val="10"/>
          <w:rFonts w:hint="eastAsia" w:ascii="宋体" w:hAnsi="宋体" w:eastAsia="宋体" w:cs="宋体"/>
        </w:rPr>
      </w:pPr>
      <w:r>
        <w:rPr>
          <w:rFonts w:hint="eastAsia" w:ascii="宋体" w:hAnsi="宋体" w:eastAsia="宋体" w:cs="宋体"/>
          <w:sz w:val="24"/>
          <w:szCs w:val="24"/>
        </w:rPr>
        <w:t>3、质保期内，需提供7*24小时的免费电话咨询服务支持，对于用户的售后服务请求须在12小时内上门服务；在质保期内因货物重大质量原因而需要更换或维修的，须在48小时内完成，以保证货物的正常运行。在货物免费质保期内，因货物本身原因出现的任何质量问题，中标单位应负责更换或维修，由此产生的一切费用由供应商承担。若在约定时间内无人上门解决问题，逾期采购人有权请第三方专业维修人员进行维修，相关费用将从质保金中扣除，并扣除当年应返还的全部质保金，如通过维修仍无法正常使用，采购人有权退货或要求更换。</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968CE4"/>
    <w:multiLevelType w:val="singleLevel"/>
    <w:tmpl w:val="EF968CE4"/>
    <w:lvl w:ilvl="0" w:tentative="0">
      <w:start w:val="1"/>
      <w:numFmt w:val="chineseCounting"/>
      <w:suff w:val="nothing"/>
      <w:lvlText w:val="%1、"/>
      <w:lvlJc w:val="left"/>
      <w:rPr>
        <w:rFonts w:hint="eastAsia"/>
      </w:rPr>
    </w:lvl>
  </w:abstractNum>
  <w:abstractNum w:abstractNumId="1">
    <w:nsid w:val="616753C9"/>
    <w:multiLevelType w:val="singleLevel"/>
    <w:tmpl w:val="616753C9"/>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BD7DE9"/>
    <w:rsid w:val="63BD7D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等线" w:cs="Times New Roman"/>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ascii="宋体" w:hAnsi="宋体"/>
      <w:b/>
      <w:kern w:val="44"/>
      <w:sz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Body Text Indent"/>
    <w:basedOn w:val="1"/>
    <w:next w:val="4"/>
    <w:qFormat/>
    <w:uiPriority w:val="0"/>
    <w:pPr>
      <w:spacing w:after="120" w:afterLines="0"/>
      <w:ind w:left="420" w:leftChars="200"/>
    </w:pPr>
  </w:style>
  <w:style w:type="paragraph" w:styleId="4">
    <w:name w:val="envelope return"/>
    <w:basedOn w:val="1"/>
    <w:qFormat/>
    <w:uiPriority w:val="0"/>
    <w:pPr>
      <w:snapToGrid w:val="0"/>
    </w:pPr>
    <w:rPr>
      <w:rFonts w:ascii="Arial" w:hAnsi="Arial"/>
    </w:rPr>
  </w:style>
  <w:style w:type="paragraph" w:styleId="5">
    <w:name w:val="Normal (Web)"/>
    <w:basedOn w:val="1"/>
    <w:qFormat/>
    <w:uiPriority w:val="0"/>
    <w:pPr>
      <w:spacing w:before="100" w:beforeAutospacing="1" w:after="100" w:afterAutospacing="1"/>
      <w:jc w:val="left"/>
    </w:pPr>
    <w:rPr>
      <w:rFonts w:ascii="Calibri" w:hAnsi="Calibri" w:cs="Times New Roman"/>
      <w:kern w:val="0"/>
      <w:sz w:val="24"/>
      <w:szCs w:val="22"/>
    </w:rPr>
  </w:style>
  <w:style w:type="paragraph" w:styleId="6">
    <w:name w:val="Body Text First Indent 2"/>
    <w:basedOn w:val="3"/>
    <w:qFormat/>
    <w:uiPriority w:val="0"/>
    <w:pPr>
      <w:ind w:firstLine="420" w:firstLineChars="200"/>
    </w:pPr>
    <w:rPr>
      <w:rFonts w:eastAsia="宋体"/>
      <w:sz w:val="21"/>
      <w:szCs w:val="24"/>
    </w:rPr>
  </w:style>
  <w:style w:type="character" w:styleId="9">
    <w:name w:val="Strong"/>
    <w:qFormat/>
    <w:uiPriority w:val="0"/>
    <w:rPr>
      <w:b/>
    </w:rPr>
  </w:style>
  <w:style w:type="character" w:styleId="10">
    <w:name w:val="annotation reference"/>
    <w:unhideWhenUsed/>
    <w:qFormat/>
    <w:uiPriority w:val="99"/>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2021-11-19T00:27:00Z</dcterms:created>
  <dc:creator>Administrator</dc:creator>
  <cp:lastModifiedBy>Administrator</cp:lastModifiedBy>
  <dcterms:modified xsi:type="dcterms:W3CDTF">2021-11-19T00:28:08Z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